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10, Activity 2</w:t>
      </w:r>
    </w:p>
    <w:p w:rsidR="00000000" w:rsidDel="00000000" w:rsidP="00000000" w:rsidRDefault="00000000" w:rsidRPr="00000000" w14:paraId="00000002">
      <w:pPr>
        <w:pStyle w:val="Heading1"/>
        <w:keepNext w:val="0"/>
        <w:keepLines w:val="0"/>
        <w:widowControl w:val="0"/>
        <w:shd w:fill="ffffff" w:val="clear"/>
        <w:spacing w:after="0" w:before="0" w:line="276" w:lineRule="auto"/>
        <w:rPr>
          <w:rFonts w:ascii="Calibri" w:cs="Calibri" w:eastAsia="Calibri" w:hAnsi="Calibri"/>
          <w:b w:val="1"/>
          <w:sz w:val="22"/>
          <w:szCs w:val="22"/>
        </w:rPr>
      </w:pPr>
      <w:bookmarkStart w:colFirst="0" w:colLast="0" w:name="_95dmms4f53fo" w:id="0"/>
      <w:bookmarkEnd w:id="0"/>
      <w:r w:rsidDel="00000000" w:rsidR="00000000" w:rsidRPr="00000000">
        <w:rPr>
          <w:rFonts w:ascii="Calibri" w:cs="Calibri" w:eastAsia="Calibri" w:hAnsi="Calibri"/>
          <w:b w:val="1"/>
          <w:sz w:val="22"/>
          <w:szCs w:val="22"/>
          <w:rtl w:val="0"/>
        </w:rPr>
        <w:t xml:space="preserve">Federal and State Responsibilities</w:t>
      </w:r>
      <w:r w:rsidDel="00000000" w:rsidR="00000000" w:rsidRPr="00000000">
        <w:rPr>
          <w:rtl w:val="0"/>
        </w:rPr>
      </w:r>
    </w:p>
    <w:p w:rsidR="00000000" w:rsidDel="00000000" w:rsidP="00000000" w:rsidRDefault="00000000" w:rsidRPr="00000000" w14:paraId="00000003">
      <w:pPr>
        <w:widowControl w:val="0"/>
        <w:spacing w:after="0" w:before="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In this activity, students will map out the distribution of authority and responsibilities across federal, state, and local levels of IDEA implementation. By differentiating these roles, students will see how IDEA’s structure ensures national protections while allowing state and local flexibility.</w:t>
      </w:r>
    </w:p>
    <w:p w:rsidR="00000000" w:rsidDel="00000000" w:rsidP="00000000" w:rsidRDefault="00000000" w:rsidRPr="00000000" w14:paraId="00000006">
      <w:pPr>
        <w:widowControl w:val="0"/>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8">
      <w:pPr>
        <w:widowControl w:val="0"/>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Begin by browsing the following webpages: </w:t>
      </w:r>
    </w:p>
    <w:p w:rsidR="00000000" w:rsidDel="00000000" w:rsidP="00000000" w:rsidRDefault="00000000" w:rsidRPr="00000000" w14:paraId="00000009">
      <w:pPr>
        <w:widowControl w:val="0"/>
        <w:numPr>
          <w:ilvl w:val="1"/>
          <w:numId w:val="1"/>
        </w:numPr>
        <w:spacing w:after="0" w:afterAutospacing="0" w:before="0" w:beforeAutospacing="0" w:lineRule="auto"/>
        <w:ind w:left="1440" w:hanging="360"/>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https://sites.ed.gov/idea/statuteregulations/</w:t>
        </w:r>
      </w:hyperlink>
      <w:r w:rsidDel="00000000" w:rsidR="00000000" w:rsidRPr="00000000">
        <w:rPr>
          <w:rtl w:val="0"/>
        </w:rPr>
      </w:r>
    </w:p>
    <w:p w:rsidR="00000000" w:rsidDel="00000000" w:rsidP="00000000" w:rsidRDefault="00000000" w:rsidRPr="00000000" w14:paraId="0000000A">
      <w:pPr>
        <w:widowControl w:val="0"/>
        <w:numPr>
          <w:ilvl w:val="1"/>
          <w:numId w:val="1"/>
        </w:numPr>
        <w:spacing w:after="0" w:afterAutospacing="0" w:before="0" w:beforeAutospacing="0" w:lineRule="auto"/>
        <w:ind w:left="1440" w:hanging="360"/>
        <w:rPr>
          <w:rFonts w:ascii="Calibri" w:cs="Calibri" w:eastAsia="Calibri" w:hAnsi="Calibri"/>
          <w:u w:val="none"/>
        </w:rPr>
      </w:pPr>
      <w:hyperlink r:id="rId7">
        <w:r w:rsidDel="00000000" w:rsidR="00000000" w:rsidRPr="00000000">
          <w:rPr>
            <w:rFonts w:ascii="Calibri" w:cs="Calibri" w:eastAsia="Calibri" w:hAnsi="Calibri"/>
            <w:color w:val="1155cc"/>
            <w:u w:val="single"/>
            <w:rtl w:val="0"/>
          </w:rPr>
          <w:t xml:space="preserve">https://exceptionalchildren.org/sites/default/files/2025-03/Policy%20Fact%20Sheets%20-%20Federal%20vs%20State.pdf</w:t>
        </w:r>
      </w:hyperlink>
      <w:r w:rsidDel="00000000" w:rsidR="00000000" w:rsidRPr="00000000">
        <w:rPr>
          <w:rtl w:val="0"/>
        </w:rPr>
      </w:r>
    </w:p>
    <w:p w:rsidR="00000000" w:rsidDel="00000000" w:rsidP="00000000" w:rsidRDefault="00000000" w:rsidRPr="00000000" w14:paraId="0000000B">
      <w:pPr>
        <w:widowControl w:val="0"/>
        <w:numPr>
          <w:ilvl w:val="1"/>
          <w:numId w:val="1"/>
        </w:numPr>
        <w:spacing w:after="0" w:afterAutospacing="0" w:before="0" w:beforeAutospacing="0" w:lineRule="auto"/>
        <w:ind w:left="1440" w:hanging="360"/>
        <w:rPr>
          <w:rFonts w:ascii="Calibri" w:cs="Calibri" w:eastAsia="Calibri" w:hAnsi="Calibri"/>
          <w:u w:val="none"/>
        </w:rPr>
      </w:pPr>
      <w:hyperlink r:id="rId8">
        <w:r w:rsidDel="00000000" w:rsidR="00000000" w:rsidRPr="00000000">
          <w:rPr>
            <w:rFonts w:ascii="Calibri" w:cs="Calibri" w:eastAsia="Calibri" w:hAnsi="Calibri"/>
            <w:color w:val="1155cc"/>
            <w:u w:val="single"/>
            <w:rtl w:val="0"/>
          </w:rPr>
          <w:t xml:space="preserve">https://www.ecfr.gov/current/title-34/subtitle-B/chapter-III/part-303/subpart-A/subject-group-ECFR8d7eb7e02db8abe/section-303.23</w:t>
        </w:r>
      </w:hyperlink>
      <w:r w:rsidDel="00000000" w:rsidR="00000000" w:rsidRPr="00000000">
        <w:rPr>
          <w:rtl w:val="0"/>
        </w:rPr>
      </w:r>
    </w:p>
    <w:p w:rsidR="00000000" w:rsidDel="00000000" w:rsidP="00000000" w:rsidRDefault="00000000" w:rsidRPr="00000000" w14:paraId="0000000C">
      <w:pPr>
        <w:widowControl w:val="0"/>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Additionally, each student should find at least one additional source to describe the authority of federal, state, and local levels.</w:t>
      </w:r>
      <w:r w:rsidDel="00000000" w:rsidR="00000000" w:rsidRPr="00000000">
        <w:rPr>
          <w:rtl w:val="0"/>
        </w:rPr>
      </w:r>
    </w:p>
    <w:p w:rsidR="00000000" w:rsidDel="00000000" w:rsidP="00000000" w:rsidRDefault="00000000" w:rsidRPr="00000000" w14:paraId="0000000D">
      <w:pPr>
        <w:widowControl w:val="0"/>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Break into groups and create flowcharts showing how authority and responsibilities flow from the federal government to states to districts. </w:t>
      </w:r>
    </w:p>
    <w:p w:rsidR="00000000" w:rsidDel="00000000" w:rsidP="00000000" w:rsidRDefault="00000000" w:rsidRPr="00000000" w14:paraId="0000000E">
      <w:pPr>
        <w:widowControl w:val="0"/>
        <w:numPr>
          <w:ilvl w:val="0"/>
          <w:numId w:val="1"/>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Each group then shares its chart, highlighting one key challenge at each level.</w:t>
      </w:r>
    </w:p>
    <w:p w:rsidR="00000000" w:rsidDel="00000000" w:rsidP="00000000" w:rsidRDefault="00000000" w:rsidRPr="00000000" w14:paraId="0000000F">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10">
      <w:pPr>
        <w:widowControl w:val="0"/>
        <w:numPr>
          <w:ilvl w:val="0"/>
          <w:numId w:val="2"/>
        </w:numPr>
        <w:spacing w:after="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 Questions</w:t>
      </w:r>
    </w:p>
    <w:p w:rsidR="00000000" w:rsidDel="00000000" w:rsidP="00000000" w:rsidRDefault="00000000" w:rsidRPr="00000000" w14:paraId="00000011">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are the unique responsibilities of the federal government versus the states under IDEA?</w:t>
      </w:r>
    </w:p>
    <w:p w:rsidR="00000000" w:rsidDel="00000000" w:rsidP="00000000" w:rsidRDefault="00000000" w:rsidRPr="00000000" w14:paraId="00000012">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How do state agencies act as intermediaries between federal and local authority?</w:t>
      </w:r>
    </w:p>
    <w:p w:rsidR="00000000" w:rsidDel="00000000" w:rsidP="00000000" w:rsidRDefault="00000000" w:rsidRPr="00000000" w14:paraId="00000013">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Why is local implementation often considered the “face” of IDEA for families?</w:t>
      </w:r>
    </w:p>
    <w:p w:rsidR="00000000" w:rsidDel="00000000" w:rsidP="00000000" w:rsidRDefault="00000000" w:rsidRPr="00000000" w14:paraId="00000014">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risks exist when responsibilities are divided across levels?</w:t>
        <w:br w:type="textWrapping"/>
      </w:r>
    </w:p>
    <w:p w:rsidR="00000000" w:rsidDel="00000000" w:rsidP="00000000" w:rsidRDefault="00000000" w:rsidRPr="00000000" w14:paraId="00000015">
      <w:pPr>
        <w:widowControl w:val="0"/>
        <w:numPr>
          <w:ilvl w:val="0"/>
          <w:numId w:val="2"/>
        </w:numPr>
        <w:spacing w:after="0" w:afterAutospacing="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6">
      <w:pPr>
        <w:widowControl w:val="0"/>
        <w:numPr>
          <w:ilvl w:val="1"/>
          <w:numId w:val="2"/>
        </w:numPr>
        <w:spacing w:after="0" w:afterAutospacing="0" w:before="0" w:beforeAutospacing="0" w:lineRule="auto"/>
        <w:ind w:left="1440" w:hanging="360"/>
      </w:pPr>
      <w:r w:rsidDel="00000000" w:rsidR="00000000" w:rsidRPr="00000000">
        <w:rPr>
          <w:rFonts w:ascii="Calibri" w:cs="Calibri" w:eastAsia="Calibri" w:hAnsi="Calibri"/>
          <w:rtl w:val="0"/>
        </w:rPr>
        <w:t xml:space="preserve">Analyze the balance of federal oversight and state/local flexibility in IDEA.</w:t>
      </w:r>
    </w:p>
    <w:p w:rsidR="00000000" w:rsidDel="00000000" w:rsidP="00000000" w:rsidRDefault="00000000" w:rsidRPr="00000000" w14:paraId="00000017">
      <w:pPr>
        <w:widowControl w:val="0"/>
        <w:numPr>
          <w:ilvl w:val="1"/>
          <w:numId w:val="2"/>
        </w:numPr>
        <w:spacing w:after="0" w:afterAutospacing="0" w:before="0" w:beforeAutospacing="0" w:lineRule="auto"/>
        <w:ind w:left="1440" w:hanging="360"/>
      </w:pPr>
      <w:r w:rsidDel="00000000" w:rsidR="00000000" w:rsidRPr="00000000">
        <w:rPr>
          <w:rFonts w:ascii="Calibri" w:cs="Calibri" w:eastAsia="Calibri" w:hAnsi="Calibri"/>
          <w:rtl w:val="0"/>
        </w:rPr>
        <w:t xml:space="preserve">Propose a system improvement to clarify roles between states and districts.</w:t>
      </w:r>
    </w:p>
    <w:p w:rsidR="00000000" w:rsidDel="00000000" w:rsidP="00000000" w:rsidRDefault="00000000" w:rsidRPr="00000000" w14:paraId="00000018">
      <w:pPr>
        <w:widowControl w:val="0"/>
        <w:numPr>
          <w:ilvl w:val="1"/>
          <w:numId w:val="2"/>
        </w:numPr>
        <w:spacing w:after="240" w:before="0" w:beforeAutospacing="0" w:lineRule="auto"/>
        <w:ind w:left="1440" w:hanging="360"/>
      </w:pPr>
      <w:r w:rsidDel="00000000" w:rsidR="00000000" w:rsidRPr="00000000">
        <w:rPr>
          <w:rFonts w:ascii="Calibri" w:cs="Calibri" w:eastAsia="Calibri" w:hAnsi="Calibri"/>
          <w:rtl w:val="0"/>
        </w:rPr>
        <w:t xml:space="preserve">Critique the strengths and weaknesses of centralized vs. decentralized governance in special education.</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ites.ed.gov/idea/statuteregulations/" TargetMode="External"/><Relationship Id="rId7" Type="http://schemas.openxmlformats.org/officeDocument/2006/relationships/hyperlink" Target="https://exceptionalchildren.org/sites/default/files/2025-03/Policy%20Fact%20Sheets%20-%20Federal%20vs%20State.pdf" TargetMode="External"/><Relationship Id="rId8" Type="http://schemas.openxmlformats.org/officeDocument/2006/relationships/hyperlink" Target="https://www.ecfr.gov/current/title-34/subtitle-B/chapter-III/part-303/subpart-A/subject-group-ECFR8d7eb7e02db8abe/section-30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