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Module 2, Activity 1</w:t>
      </w:r>
    </w:p>
    <w:p w:rsidR="00000000" w:rsidDel="00000000" w:rsidP="00000000" w:rsidRDefault="00000000" w:rsidRPr="00000000" w14:paraId="00000002">
      <w:pPr>
        <w:widowControl w:val="0"/>
        <w:spacing w:after="0" w:line="276" w:lineRule="auto"/>
        <w:rPr>
          <w:rFonts w:ascii="Calibri" w:cs="Calibri" w:eastAsia="Calibri" w:hAnsi="Calibri"/>
          <w:i w:val="1"/>
        </w:rPr>
      </w:pPr>
      <w:r w:rsidDel="00000000" w:rsidR="00000000" w:rsidRPr="00000000">
        <w:rPr>
          <w:rFonts w:ascii="Calibri" w:cs="Calibri" w:eastAsia="Calibri" w:hAnsi="Calibri"/>
          <w:rtl w:val="0"/>
        </w:rPr>
        <w:t xml:space="preserve">Exploring Educational Policy Analyses  </w:t>
      </w:r>
      <w:r w:rsidDel="00000000" w:rsidR="00000000" w:rsidRPr="00000000">
        <w:rPr>
          <w:rtl w:val="0"/>
        </w:rPr>
      </w:r>
    </w:p>
    <w:p w:rsidR="00000000" w:rsidDel="00000000" w:rsidP="00000000" w:rsidRDefault="00000000" w:rsidRPr="00000000" w14:paraId="00000003">
      <w:pPr>
        <w:widowControl w:val="0"/>
        <w:spacing w:after="0"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04">
      <w:pPr>
        <w:widowControl w:val="0"/>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Introduction to activity</w:t>
      </w:r>
    </w:p>
    <w:p w:rsidR="00000000" w:rsidDel="00000000" w:rsidP="00000000" w:rsidRDefault="00000000" w:rsidRPr="00000000" w14:paraId="00000005">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Policy analyses are completed by government and non-government individuals, organizations, and agencies. These analyses can be in the form of reports, policy briefs, white papers, policy reviews, guidance and recommendations, and memos. The purpose of the activity is to differentiate between governmental and non-governmental policy sources, analyze real-world policy documents, and critically reflect on how policy products inform practice in education. </w:t>
      </w:r>
    </w:p>
    <w:p w:rsidR="00000000" w:rsidDel="00000000" w:rsidP="00000000" w:rsidRDefault="00000000" w:rsidRPr="00000000" w14:paraId="00000006">
      <w:pPr>
        <w:widowControl w:val="0"/>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widowControl w:val="0"/>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Tasks</w:t>
      </w:r>
    </w:p>
    <w:p w:rsidR="00000000" w:rsidDel="00000000" w:rsidP="00000000" w:rsidRDefault="00000000" w:rsidRPr="00000000" w14:paraId="00000008">
      <w:pPr>
        <w:widowControl w:val="0"/>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Find two examples of a policy analysis document</w:t>
      </w:r>
    </w:p>
    <w:p w:rsidR="00000000" w:rsidDel="00000000" w:rsidP="00000000" w:rsidRDefault="00000000" w:rsidRPr="00000000" w14:paraId="00000009">
      <w:pPr>
        <w:widowControl w:val="0"/>
        <w:numPr>
          <w:ilvl w:val="1"/>
          <w:numId w:val="1"/>
        </w:numPr>
        <w:spacing w:after="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One from a governmental source (GAO education report, ED guidance, CRS Report, etc.)</w:t>
      </w:r>
    </w:p>
    <w:p w:rsidR="00000000" w:rsidDel="00000000" w:rsidP="00000000" w:rsidRDefault="00000000" w:rsidRPr="00000000" w14:paraId="0000000A">
      <w:pPr>
        <w:widowControl w:val="0"/>
        <w:numPr>
          <w:ilvl w:val="1"/>
          <w:numId w:val="1"/>
        </w:numPr>
        <w:spacing w:after="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One from a non-governmental source (Brookings Report, NewAmerica Brief, Learning Policy Institute Report, National Education Policy Center Review, etc.)</w:t>
      </w:r>
      <w:r w:rsidDel="00000000" w:rsidR="00000000" w:rsidRPr="00000000">
        <w:rPr>
          <w:rtl w:val="0"/>
        </w:rPr>
      </w:r>
    </w:p>
    <w:p w:rsidR="00000000" w:rsidDel="00000000" w:rsidP="00000000" w:rsidRDefault="00000000" w:rsidRPr="00000000" w14:paraId="0000000B">
      <w:pPr>
        <w:widowControl w:val="0"/>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Read</w:t>
      </w:r>
    </w:p>
    <w:p w:rsidR="00000000" w:rsidDel="00000000" w:rsidP="00000000" w:rsidRDefault="00000000" w:rsidRPr="00000000" w14:paraId="0000000C">
      <w:pPr>
        <w:widowControl w:val="0"/>
        <w:numPr>
          <w:ilvl w:val="1"/>
          <w:numId w:val="1"/>
        </w:numPr>
        <w:spacing w:after="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Polaris</w:t>
      </w:r>
      <w:r w:rsidDel="00000000" w:rsidR="00000000" w:rsidRPr="00000000">
        <w:rPr>
          <w:rFonts w:ascii="Calibri" w:cs="Calibri" w:eastAsia="Calibri" w:hAnsi="Calibri"/>
          <w:rtl w:val="0"/>
        </w:rPr>
        <w:t xml:space="preserve">. (2024, September 25). Key policy analysis questions. U.S. Centers for Disease Control and Prevention. U.S. Department of Health and Human Services. </w:t>
      </w:r>
      <w:hyperlink r:id="rId6">
        <w:r w:rsidDel="00000000" w:rsidR="00000000" w:rsidRPr="00000000">
          <w:rPr>
            <w:rFonts w:ascii="Calibri" w:cs="Calibri" w:eastAsia="Calibri" w:hAnsi="Calibri"/>
            <w:color w:val="1155cc"/>
            <w:u w:val="single"/>
            <w:rtl w:val="0"/>
          </w:rPr>
          <w:t xml:space="preserve">https://www.cdc.gov/polaris/php/policy-resources-trainings/key-policy-analysis-questions.html</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widowControl w:val="0"/>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Complete (individually or in groups) the Policy Analysis Evaluation Grid (attached)</w:t>
      </w:r>
      <w:r w:rsidDel="00000000" w:rsidR="00000000" w:rsidRPr="00000000">
        <w:rPr>
          <w:rtl w:val="0"/>
        </w:rPr>
      </w:r>
    </w:p>
    <w:p w:rsidR="00000000" w:rsidDel="00000000" w:rsidP="00000000" w:rsidRDefault="00000000" w:rsidRPr="00000000" w14:paraId="0000000E">
      <w:pPr>
        <w:widowControl w:val="0"/>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widowControl w:val="0"/>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Follow-Up Options</w:t>
      </w:r>
    </w:p>
    <w:p w:rsidR="00000000" w:rsidDel="00000000" w:rsidP="00000000" w:rsidRDefault="00000000" w:rsidRPr="00000000" w14:paraId="00000010">
      <w:pPr>
        <w:widowControl w:val="0"/>
        <w:numPr>
          <w:ilvl w:val="0"/>
          <w:numId w:val="2"/>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Discussion</w:t>
      </w:r>
    </w:p>
    <w:p w:rsidR="00000000" w:rsidDel="00000000" w:rsidP="00000000" w:rsidRDefault="00000000" w:rsidRPr="00000000" w14:paraId="00000011">
      <w:pPr>
        <w:widowControl w:val="0"/>
        <w:numPr>
          <w:ilvl w:val="1"/>
          <w:numId w:val="2"/>
        </w:numPr>
        <w:spacing w:after="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Describe what was noticed about tone, language, or assumptions.</w:t>
      </w:r>
    </w:p>
    <w:p w:rsidR="00000000" w:rsidDel="00000000" w:rsidP="00000000" w:rsidRDefault="00000000" w:rsidRPr="00000000" w14:paraId="00000012">
      <w:pPr>
        <w:widowControl w:val="0"/>
        <w:numPr>
          <w:ilvl w:val="1"/>
          <w:numId w:val="2"/>
        </w:numPr>
        <w:spacing w:after="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Which source felt more compelling and why?</w:t>
      </w:r>
    </w:p>
    <w:p w:rsidR="00000000" w:rsidDel="00000000" w:rsidP="00000000" w:rsidRDefault="00000000" w:rsidRPr="00000000" w14:paraId="00000013">
      <w:pPr>
        <w:widowControl w:val="0"/>
        <w:numPr>
          <w:ilvl w:val="1"/>
          <w:numId w:val="2"/>
        </w:numPr>
        <w:spacing w:after="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What were the gaps in the approaches?</w:t>
      </w:r>
    </w:p>
    <w:p w:rsidR="00000000" w:rsidDel="00000000" w:rsidP="00000000" w:rsidRDefault="00000000" w:rsidRPr="00000000" w14:paraId="00000014">
      <w:pPr>
        <w:widowControl w:val="0"/>
        <w:numPr>
          <w:ilvl w:val="0"/>
          <w:numId w:val="2"/>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Paper</w:t>
      </w:r>
    </w:p>
    <w:p w:rsidR="00000000" w:rsidDel="00000000" w:rsidP="00000000" w:rsidRDefault="00000000" w:rsidRPr="00000000" w14:paraId="00000015">
      <w:pPr>
        <w:widowControl w:val="0"/>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How do different institutions use policy analysis to influence education?</w:t>
      </w:r>
    </w:p>
    <w:p w:rsidR="00000000" w:rsidDel="00000000" w:rsidP="00000000" w:rsidRDefault="00000000" w:rsidRPr="00000000" w14:paraId="00000016">
      <w:pPr>
        <w:widowControl w:val="0"/>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What role do scholars play in improving products?</w:t>
      </w:r>
    </w:p>
    <w:p w:rsidR="00000000" w:rsidDel="00000000" w:rsidP="00000000" w:rsidRDefault="00000000" w:rsidRPr="00000000" w14:paraId="00000017">
      <w:pPr>
        <w:widowControl w:val="0"/>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How can doctoral students and faculty use these tools in research, leadership, and advocacy?</w:t>
      </w:r>
    </w:p>
    <w:p w:rsidR="00000000" w:rsidDel="00000000" w:rsidP="00000000" w:rsidRDefault="00000000" w:rsidRPr="00000000" w14:paraId="00000018">
      <w:pPr>
        <w:widowControl w:val="0"/>
        <w:spacing w:after="0" w:line="276"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19">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Policy Analysis Evaluation Grid</w:t>
      </w:r>
    </w:p>
    <w:p w:rsidR="00000000" w:rsidDel="00000000" w:rsidP="00000000" w:rsidRDefault="00000000" w:rsidRPr="00000000" w14:paraId="0000001A">
      <w:pPr>
        <w:widowControl w:val="0"/>
        <w:rPr>
          <w:rFonts w:ascii="Calibri" w:cs="Calibri" w:eastAsia="Calibri" w:hAnsi="Calibri"/>
          <w:b w:val="1"/>
          <w:sz w:val="24"/>
          <w:szCs w:val="24"/>
        </w:rPr>
      </w:pPr>
      <w:r w:rsidDel="00000000" w:rsidR="00000000" w:rsidRPr="00000000">
        <w:rPr>
          <w:rtl w:val="0"/>
        </w:rPr>
      </w:r>
    </w:p>
    <w:tbl>
      <w:tblPr>
        <w:tblStyle w:val="Table1"/>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75"/>
        <w:gridCol w:w="3435"/>
        <w:gridCol w:w="3510"/>
        <w:tblGridChange w:id="0">
          <w:tblGrid>
            <w:gridCol w:w="2175"/>
            <w:gridCol w:w="3435"/>
            <w:gridCol w:w="3510"/>
          </w:tblGrid>
        </w:tblGridChange>
      </w:tblGrid>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B">
            <w:pPr>
              <w:widowControl w:val="0"/>
              <w:rPr>
                <w:rFonts w:ascii="Calibri" w:cs="Calibri" w:eastAsia="Calibri" w:hAnsi="Calibri"/>
                <w:b w:val="1"/>
              </w:rPr>
            </w:pPr>
            <w:r w:rsidDel="00000000" w:rsidR="00000000" w:rsidRPr="00000000">
              <w:rPr>
                <w:rFonts w:ascii="Calibri" w:cs="Calibri" w:eastAsia="Calibri" w:hAnsi="Calibri"/>
                <w:b w:val="1"/>
                <w:rtl w:val="0"/>
              </w:rPr>
              <w:t xml:space="preserve">Category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C">
            <w:pPr>
              <w:widowControl w:val="0"/>
              <w:rPr>
                <w:rFonts w:ascii="Calibri" w:cs="Calibri" w:eastAsia="Calibri" w:hAnsi="Calibri"/>
                <w:b w:val="1"/>
              </w:rPr>
            </w:pPr>
            <w:r w:rsidDel="00000000" w:rsidR="00000000" w:rsidRPr="00000000">
              <w:rPr>
                <w:rFonts w:ascii="Calibri" w:cs="Calibri" w:eastAsia="Calibri" w:hAnsi="Calibri"/>
                <w:b w:val="1"/>
                <w:rtl w:val="0"/>
              </w:rPr>
              <w:t xml:space="preserve">Government Document</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D">
            <w:pPr>
              <w:widowControl w:val="0"/>
              <w:rPr>
                <w:rFonts w:ascii="Calibri" w:cs="Calibri" w:eastAsia="Calibri" w:hAnsi="Calibri"/>
                <w:b w:val="1"/>
              </w:rPr>
            </w:pPr>
            <w:r w:rsidDel="00000000" w:rsidR="00000000" w:rsidRPr="00000000">
              <w:rPr>
                <w:rFonts w:ascii="Calibri" w:cs="Calibri" w:eastAsia="Calibri" w:hAnsi="Calibri"/>
                <w:b w:val="1"/>
                <w:rtl w:val="0"/>
              </w:rPr>
              <w:t xml:space="preserve">Non-Government Document</w:t>
            </w:r>
          </w:p>
        </w:tc>
      </w:tr>
      <w:tr>
        <w:trPr>
          <w:cantSplit w:val="0"/>
          <w:trHeight w:val="846.7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E">
            <w:pPr>
              <w:widowControl w:val="0"/>
              <w:rPr>
                <w:rFonts w:ascii="Calibri" w:cs="Calibri" w:eastAsia="Calibri" w:hAnsi="Calibri"/>
                <w:b w:val="1"/>
              </w:rPr>
            </w:pPr>
            <w:r w:rsidDel="00000000" w:rsidR="00000000" w:rsidRPr="00000000">
              <w:rPr>
                <w:rFonts w:ascii="Calibri" w:cs="Calibri" w:eastAsia="Calibri" w:hAnsi="Calibri"/>
                <w:b w:val="1"/>
                <w:rtl w:val="0"/>
              </w:rPr>
              <w:t xml:space="preserve">Source &amp; Audience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F">
            <w:pPr>
              <w:widowControl w:val="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0">
            <w:pPr>
              <w:widowControl w:val="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46.7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1">
            <w:pPr>
              <w:widowControl w:val="0"/>
              <w:rPr>
                <w:rFonts w:ascii="Calibri" w:cs="Calibri" w:eastAsia="Calibri" w:hAnsi="Calibri"/>
                <w:b w:val="1"/>
              </w:rPr>
            </w:pPr>
            <w:r w:rsidDel="00000000" w:rsidR="00000000" w:rsidRPr="00000000">
              <w:rPr>
                <w:rFonts w:ascii="Calibri" w:cs="Calibri" w:eastAsia="Calibri" w:hAnsi="Calibri"/>
                <w:b w:val="1"/>
                <w:rtl w:val="0"/>
              </w:rPr>
              <w:t xml:space="preserve">Purpose of Analysis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2">
            <w:pPr>
              <w:widowControl w:val="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3">
            <w:pPr>
              <w:widowControl w:val="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46.7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4">
            <w:pPr>
              <w:widowControl w:val="0"/>
              <w:rPr>
                <w:rFonts w:ascii="Calibri" w:cs="Calibri" w:eastAsia="Calibri" w:hAnsi="Calibri"/>
                <w:b w:val="1"/>
              </w:rPr>
            </w:pPr>
            <w:r w:rsidDel="00000000" w:rsidR="00000000" w:rsidRPr="00000000">
              <w:rPr>
                <w:rFonts w:ascii="Calibri" w:cs="Calibri" w:eastAsia="Calibri" w:hAnsi="Calibri"/>
                <w:b w:val="1"/>
                <w:rtl w:val="0"/>
              </w:rPr>
              <w:t xml:space="preserve">Type of Product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5">
            <w:pPr>
              <w:widowControl w:val="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6">
            <w:pPr>
              <w:widowControl w:val="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46.7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7">
            <w:pPr>
              <w:widowControl w:val="0"/>
              <w:rPr>
                <w:rFonts w:ascii="Calibri" w:cs="Calibri" w:eastAsia="Calibri" w:hAnsi="Calibri"/>
                <w:b w:val="1"/>
              </w:rPr>
            </w:pPr>
            <w:r w:rsidDel="00000000" w:rsidR="00000000" w:rsidRPr="00000000">
              <w:rPr>
                <w:rFonts w:ascii="Calibri" w:cs="Calibri" w:eastAsia="Calibri" w:hAnsi="Calibri"/>
                <w:b w:val="1"/>
                <w:rtl w:val="0"/>
              </w:rPr>
              <w:t xml:space="preserve">Framing of the Problem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8">
            <w:pPr>
              <w:widowControl w:val="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9">
            <w:pPr>
              <w:widowControl w:val="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46.7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A">
            <w:pPr>
              <w:widowControl w:val="0"/>
              <w:rPr>
                <w:rFonts w:ascii="Calibri" w:cs="Calibri" w:eastAsia="Calibri" w:hAnsi="Calibri"/>
                <w:b w:val="1"/>
              </w:rPr>
            </w:pPr>
            <w:r w:rsidDel="00000000" w:rsidR="00000000" w:rsidRPr="00000000">
              <w:rPr>
                <w:rFonts w:ascii="Calibri" w:cs="Calibri" w:eastAsia="Calibri" w:hAnsi="Calibri"/>
                <w:b w:val="1"/>
                <w:rtl w:val="0"/>
              </w:rPr>
              <w:t xml:space="preserve">Evidence Used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B">
            <w:pPr>
              <w:widowControl w:val="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C">
            <w:pPr>
              <w:widowControl w:val="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46.7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D">
            <w:pPr>
              <w:widowControl w:val="0"/>
              <w:rPr>
                <w:rFonts w:ascii="Calibri" w:cs="Calibri" w:eastAsia="Calibri" w:hAnsi="Calibri"/>
                <w:b w:val="1"/>
              </w:rPr>
            </w:pPr>
            <w:r w:rsidDel="00000000" w:rsidR="00000000" w:rsidRPr="00000000">
              <w:rPr>
                <w:rFonts w:ascii="Calibri" w:cs="Calibri" w:eastAsia="Calibri" w:hAnsi="Calibri"/>
                <w:b w:val="1"/>
                <w:rtl w:val="0"/>
              </w:rPr>
              <w:t xml:space="preserve">Recommendations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E">
            <w:pPr>
              <w:widowControl w:val="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F">
            <w:pPr>
              <w:widowControl w:val="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46.7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0">
            <w:pPr>
              <w:widowControl w:val="0"/>
              <w:rPr>
                <w:rFonts w:ascii="Calibri" w:cs="Calibri" w:eastAsia="Calibri" w:hAnsi="Calibri"/>
                <w:b w:val="1"/>
              </w:rPr>
            </w:pPr>
            <w:r w:rsidDel="00000000" w:rsidR="00000000" w:rsidRPr="00000000">
              <w:rPr>
                <w:rFonts w:ascii="Calibri" w:cs="Calibri" w:eastAsia="Calibri" w:hAnsi="Calibri"/>
                <w:b w:val="1"/>
                <w:rtl w:val="0"/>
              </w:rPr>
              <w:t xml:space="preserve">Usefulness to Educators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1">
            <w:pPr>
              <w:widowControl w:val="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2">
            <w:pPr>
              <w:widowControl w:val="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46.7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3">
            <w:pPr>
              <w:widowControl w:val="0"/>
              <w:rPr>
                <w:rFonts w:ascii="Calibri" w:cs="Calibri" w:eastAsia="Calibri" w:hAnsi="Calibri"/>
                <w:b w:val="1"/>
              </w:rPr>
            </w:pPr>
            <w:r w:rsidDel="00000000" w:rsidR="00000000" w:rsidRPr="00000000">
              <w:rPr>
                <w:rFonts w:ascii="Calibri" w:cs="Calibri" w:eastAsia="Calibri" w:hAnsi="Calibri"/>
                <w:b w:val="1"/>
                <w:rtl w:val="0"/>
              </w:rPr>
              <w:t xml:space="preserve">Strengths of Document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4">
            <w:pPr>
              <w:widowControl w:val="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5">
            <w:pPr>
              <w:widowControl w:val="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46.7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6">
            <w:pPr>
              <w:widowControl w:val="0"/>
              <w:rPr>
                <w:rFonts w:ascii="Calibri" w:cs="Calibri" w:eastAsia="Calibri" w:hAnsi="Calibri"/>
                <w:b w:val="1"/>
              </w:rPr>
            </w:pPr>
            <w:r w:rsidDel="00000000" w:rsidR="00000000" w:rsidRPr="00000000">
              <w:rPr>
                <w:rFonts w:ascii="Calibri" w:cs="Calibri" w:eastAsia="Calibri" w:hAnsi="Calibri"/>
                <w:b w:val="1"/>
                <w:rtl w:val="0"/>
              </w:rPr>
              <w:t xml:space="preserve">Limitations of Document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7">
            <w:pPr>
              <w:widowControl w:val="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8">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39">
      <w:pPr>
        <w:widowControl w:val="0"/>
        <w:spacing w:after="0" w:line="276"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dc.gov/polaris/php/policy-resources-trainings/key-policy-analysis-ques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