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b w:val="1"/>
        </w:rPr>
      </w:pPr>
      <w:r w:rsidDel="00000000" w:rsidR="00000000" w:rsidRPr="00000000">
        <w:rPr>
          <w:rFonts w:ascii="Calibri" w:cs="Calibri" w:eastAsia="Calibri" w:hAnsi="Calibri"/>
          <w:b w:val="1"/>
          <w:rtl w:val="0"/>
        </w:rPr>
        <w:t xml:space="preserve">Module 5, Activity 2</w:t>
      </w:r>
    </w:p>
    <w:p w:rsidR="00000000" w:rsidDel="00000000" w:rsidP="00000000" w:rsidRDefault="00000000" w:rsidRPr="00000000" w14:paraId="00000002">
      <w:pPr>
        <w:pStyle w:val="Heading1"/>
        <w:keepNext w:val="0"/>
        <w:keepLines w:val="0"/>
        <w:widowControl w:val="0"/>
        <w:shd w:fill="ffffff" w:val="clear"/>
        <w:spacing w:after="0" w:before="0" w:line="264" w:lineRule="auto"/>
        <w:rPr>
          <w:rFonts w:ascii="Calibri" w:cs="Calibri" w:eastAsia="Calibri" w:hAnsi="Calibri"/>
          <w:b w:val="1"/>
          <w:sz w:val="22"/>
          <w:szCs w:val="22"/>
        </w:rPr>
      </w:pPr>
      <w:bookmarkStart w:colFirst="0" w:colLast="0" w:name="_95dmms4f53fo" w:id="0"/>
      <w:bookmarkEnd w:id="0"/>
      <w:r w:rsidDel="00000000" w:rsidR="00000000" w:rsidRPr="00000000">
        <w:rPr>
          <w:rFonts w:ascii="Calibri" w:cs="Calibri" w:eastAsia="Calibri" w:hAnsi="Calibri"/>
          <w:b w:val="1"/>
          <w:sz w:val="22"/>
          <w:szCs w:val="22"/>
          <w:rtl w:val="0"/>
        </w:rPr>
        <w:t xml:space="preserve">Congressional Hearings in Preparation for IDEA 2004 Reauthorization</w:t>
      </w: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Before the Individuals with Disabilities Education Act (IDEA) was reauthorized in 2004, Congress conducted multiple hearings across both chambers. These hearings reflect the range of stakeholder perspectives- including families, educators, scholars, and advocacy organizations- that shape disability policy in the U.S. This activity allows doctoral students to trace the advocacy process, analyze the substance and strategy of testimonies, and reflect on how hearings influence final legislation.</w:t>
      </w:r>
    </w:p>
    <w:p w:rsidR="00000000" w:rsidDel="00000000" w:rsidP="00000000" w:rsidRDefault="00000000" w:rsidRPr="00000000" w14:paraId="0000000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Read 2 or more congressional hearing transcripts from the list below</w:t>
      </w:r>
    </w:p>
    <w:p w:rsidR="00000000" w:rsidDel="00000000" w:rsidP="00000000" w:rsidRDefault="00000000" w:rsidRPr="00000000" w14:paraId="0000000A">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 House of Representatives Education and Workforce Committee October 4, 2001 Hearing on “Overidentification Issues within the Individuals with Disabilities Education Act and the Need for Reform” at  </w:t>
      </w:r>
      <w:hyperlink r:id="rId6">
        <w:r w:rsidDel="00000000" w:rsidR="00000000" w:rsidRPr="00000000">
          <w:rPr>
            <w:rFonts w:ascii="Calibri" w:cs="Calibri" w:eastAsia="Calibri" w:hAnsi="Calibri"/>
            <w:color w:val="1155cc"/>
            <w:u w:val="single"/>
            <w:rtl w:val="0"/>
          </w:rPr>
          <w:t xml:space="preserve">https://www.govinfo.gov/content/pkg/CHRG-107hhrg80039/pdf/CHRG-107hhrg80039.pdf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U.S. House of Representatives Subcommittee on Education Reform of the Education and Workforce Committee May 2, 2002 Hearing on “Rethinking Special Education: How to Reform the Individuals with Disabilities Education Act” at  </w:t>
      </w:r>
      <w:hyperlink r:id="rId7">
        <w:r w:rsidDel="00000000" w:rsidR="00000000" w:rsidRPr="00000000">
          <w:rPr>
            <w:rFonts w:ascii="Calibri" w:cs="Calibri" w:eastAsia="Calibri" w:hAnsi="Calibri"/>
            <w:color w:val="1155cc"/>
            <w:u w:val="single"/>
            <w:rtl w:val="0"/>
          </w:rPr>
          <w:t xml:space="preserve">https://www.govinfo.gov/content/pkg/CHRG-107hhrg82135/pdf/CHRG-107hhrg82135.pdf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 House of Representatives Subcommittee on Education Reform of the Education and Workforce Committee June 6, 2002 Hearing on “Learning Disabilities and Early Intervention Strategies: How to Reform the Special Education Referral and Identification Process” at  </w:t>
      </w:r>
      <w:hyperlink r:id="rId8">
        <w:r w:rsidDel="00000000" w:rsidR="00000000" w:rsidRPr="00000000">
          <w:rPr>
            <w:rFonts w:ascii="Calibri" w:cs="Calibri" w:eastAsia="Calibri" w:hAnsi="Calibri"/>
            <w:color w:val="1155cc"/>
            <w:u w:val="single"/>
            <w:rtl w:val="0"/>
          </w:rPr>
          <w:t xml:space="preserve">https://www.govinfo.gov/content/pkg/CHRG-107hhrg82137/pdf/CHRG-107hhrg82137.pdf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 Senate HELP Committee July 9, 2002 Hearing on “Examining Recommendations of the President’s Commission on Excellence in Special Education Regarding the Individuals with Disabilities Act of 1997 (IDEA)” at  </w:t>
      </w:r>
      <w:hyperlink r:id="rId9">
        <w:r w:rsidDel="00000000" w:rsidR="00000000" w:rsidRPr="00000000">
          <w:rPr>
            <w:rFonts w:ascii="Calibri" w:cs="Calibri" w:eastAsia="Calibri" w:hAnsi="Calibri"/>
            <w:color w:val="1155cc"/>
            <w:u w:val="single"/>
            <w:rtl w:val="0"/>
          </w:rPr>
          <w:t xml:space="preserve">https://www.govinfo.gov/content/pkg/CHRG-107shrg80787/pdf/CHRG-107shrg80787.pdf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 House of Representatives Education and Workforce Committee July 10, 2002 Hearing on “Reforming the Individuals with Disabilities Education Act: Recommendations from the President’s Commission on Excellence in Special Education” at </w:t>
      </w:r>
      <w:hyperlink r:id="rId10">
        <w:r w:rsidDel="00000000" w:rsidR="00000000" w:rsidRPr="00000000">
          <w:rPr>
            <w:rFonts w:ascii="Calibri" w:cs="Calibri" w:eastAsia="Calibri" w:hAnsi="Calibri"/>
            <w:color w:val="1155cc"/>
            <w:u w:val="single"/>
            <w:rtl w:val="0"/>
          </w:rPr>
          <w:t xml:space="preserve">https://www.govinfo.gov/content/pkg/CHRG-107hhrg82596/pdf/CHRG-107hhrg82596.pdf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 House of Representatives Subcommittee on Education Reform of the Education and Workforce Committee March 12, 2003 Hearing on “IDEA: Focusing on Improving Results for Children with Disabilities” at </w:t>
      </w:r>
      <w:hyperlink r:id="rId11">
        <w:r w:rsidDel="00000000" w:rsidR="00000000" w:rsidRPr="00000000">
          <w:rPr>
            <w:rFonts w:ascii="Calibri" w:cs="Calibri" w:eastAsia="Calibri" w:hAnsi="Calibri"/>
            <w:color w:val="1155cc"/>
            <w:u w:val="single"/>
            <w:rtl w:val="0"/>
          </w:rPr>
          <w:t xml:space="preserve">https://www.govinfo.gov/content/pkg/CHRG-108hhrg86871/pdf/CHRG-108hhrg86871.pdf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widowControl w:val="0"/>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U.S. House of Representatives Subcommittee on Education Reform of the Education and Workforce Committee March 3, 2004 Hearing on “No Child Left Behind: Improving Results for Children with Disabilities” at </w:t>
      </w:r>
      <w:hyperlink r:id="rId12">
        <w:r w:rsidDel="00000000" w:rsidR="00000000" w:rsidRPr="00000000">
          <w:rPr>
            <w:rFonts w:ascii="Calibri" w:cs="Calibri" w:eastAsia="Calibri" w:hAnsi="Calibri"/>
            <w:color w:val="1155cc"/>
            <w:u w:val="single"/>
            <w:rtl w:val="0"/>
          </w:rPr>
          <w:t xml:space="preserve">https://www.govinfo.gov/content/pkg/CHRG-108hhrg92309/pdf/CHRG-108hhrg92309.pdf</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In small groups</w:t>
      </w:r>
    </w:p>
    <w:p w:rsidR="00000000" w:rsidDel="00000000" w:rsidP="00000000" w:rsidRDefault="00000000" w:rsidRPr="00000000" w14:paraId="00000012">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Identify 3-4 advocacy themes or issues and the types of witnesses</w:t>
      </w:r>
    </w:p>
    <w:p w:rsidR="00000000" w:rsidDel="00000000" w:rsidP="00000000" w:rsidRDefault="00000000" w:rsidRPr="00000000" w14:paraId="00000013">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Analyze the advocacy strategies used</w:t>
      </w:r>
    </w:p>
    <w:p w:rsidR="00000000" w:rsidDel="00000000" w:rsidP="00000000" w:rsidRDefault="00000000" w:rsidRPr="00000000" w14:paraId="00000014">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Create a policy map/matrix that tracks</w:t>
      </w:r>
    </w:p>
    <w:p w:rsidR="00000000" w:rsidDel="00000000" w:rsidP="00000000" w:rsidRDefault="00000000" w:rsidRPr="00000000" w14:paraId="00000015">
      <w:pPr>
        <w:widowControl w:val="0"/>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Which issues appear across multiple hearings</w:t>
      </w:r>
    </w:p>
    <w:p w:rsidR="00000000" w:rsidDel="00000000" w:rsidP="00000000" w:rsidRDefault="00000000" w:rsidRPr="00000000" w14:paraId="00000016">
      <w:pPr>
        <w:widowControl w:val="0"/>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How arguments evolve or remain consistent</w:t>
      </w:r>
    </w:p>
    <w:p w:rsidR="00000000" w:rsidDel="00000000" w:rsidP="00000000" w:rsidRDefault="00000000" w:rsidRPr="00000000" w14:paraId="00000017">
      <w:pPr>
        <w:widowControl w:val="0"/>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How those issues are later reflected in the final IDEA 2004 reauthorization</w:t>
      </w:r>
    </w:p>
    <w:p w:rsidR="00000000" w:rsidDel="00000000" w:rsidP="00000000" w:rsidRDefault="00000000" w:rsidRPr="00000000" w14:paraId="00000018">
      <w:pPr>
        <w:widowControl w:val="0"/>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Present a 10-15 minute summary with the policy map or an infographic (timeline, theme matrix, stakeholder influence web)</w:t>
      </w:r>
      <w:r w:rsidDel="00000000" w:rsidR="00000000" w:rsidRPr="00000000">
        <w:rPr>
          <w:rtl w:val="0"/>
        </w:rPr>
      </w:r>
    </w:p>
    <w:p w:rsidR="00000000" w:rsidDel="00000000" w:rsidP="00000000" w:rsidRDefault="00000000" w:rsidRPr="00000000" w14:paraId="00000019">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1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What advocacy strategies seemed most effective or persuasive during the hearings?</w:t>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Were certain voices or perspectives prioritized over others? Which ones appeared underrepresented?</w:t>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How do these hearings reflect broader social, cultural, or political attitudes toward disability?</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How does the hearing process balance stakeholder voice with legislative expertise?</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How would you advocate differently if you were invited to testify before Congress today?</w:t>
        <w:br w:type="textWrapping"/>
      </w:r>
    </w:p>
    <w:p w:rsidR="00000000" w:rsidDel="00000000" w:rsidP="00000000" w:rsidRDefault="00000000" w:rsidRPr="00000000" w14:paraId="0000002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2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Compare two IDEA 2004 hearings and assess how stakeholder input shaped legislative outcomes.</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Analyze the role of families or self-advocates in the congressional process using specific testimony examples.</w:t>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Reflect on the limits of public hearings in advancing equity in special education policy.</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Analyze a stakeholder’s concerns and arguments from any hearing/testimony that includes an assessment of how the testimony reflected broader national debates on disability and special education and discuss if the testimony may have influenced the 2004 legislation; if it did not, discuss why it may not have been included.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info.gov/content/pkg/CHRG-108hhrg86871/pdf/CHRG-108hhrg86871.pdf" TargetMode="External"/><Relationship Id="rId10" Type="http://schemas.openxmlformats.org/officeDocument/2006/relationships/hyperlink" Target="https://www.govinfo.gov/content/pkg/CHRG-107hhrg82596/pdf/CHRG-107hhrg82596.pdf" TargetMode="External"/><Relationship Id="rId12" Type="http://schemas.openxmlformats.org/officeDocument/2006/relationships/hyperlink" Target="https://www.govinfo.gov/content/pkg/CHRG-108hhrg92309/pdf/CHRG-108hhrg92309.pdf" TargetMode="External"/><Relationship Id="rId9" Type="http://schemas.openxmlformats.org/officeDocument/2006/relationships/hyperlink" Target="https://www.govinfo.gov/content/pkg/CHRG-107shrg80787/pdf/CHRG-107shrg80787.pdf" TargetMode="External"/><Relationship Id="rId5" Type="http://schemas.openxmlformats.org/officeDocument/2006/relationships/styles" Target="styles.xml"/><Relationship Id="rId6" Type="http://schemas.openxmlformats.org/officeDocument/2006/relationships/hyperlink" Target="https://www.govinfo.gov/content/pkg/CHRG-107hhrg80039/pdf/CHRG-107hhrg80039.pdf" TargetMode="External"/><Relationship Id="rId7" Type="http://schemas.openxmlformats.org/officeDocument/2006/relationships/hyperlink" Target="https://www.govinfo.gov/content/pkg/CHRG-107hhrg82135/pdf/CHRG-107hhrg82135.pdf" TargetMode="External"/><Relationship Id="rId8" Type="http://schemas.openxmlformats.org/officeDocument/2006/relationships/hyperlink" Target="https://www.govinfo.gov/content/pkg/CHRG-107hhrg82137/pdf/CHRG-107hhrg82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