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Calibri" w:cs="Calibri" w:eastAsia="Calibri" w:hAnsi="Calibri"/>
          <w:b w:val="1"/>
        </w:rPr>
      </w:pPr>
      <w:r w:rsidDel="00000000" w:rsidR="00000000" w:rsidRPr="00000000">
        <w:rPr>
          <w:rFonts w:ascii="Calibri" w:cs="Calibri" w:eastAsia="Calibri" w:hAnsi="Calibri"/>
          <w:b w:val="1"/>
          <w:rtl w:val="0"/>
        </w:rPr>
        <w:t xml:space="preserve">Module 5, Activity 3</w:t>
      </w:r>
    </w:p>
    <w:p w:rsidR="00000000" w:rsidDel="00000000" w:rsidP="00000000" w:rsidRDefault="00000000" w:rsidRPr="00000000" w14:paraId="00000002">
      <w:pPr>
        <w:pStyle w:val="Heading1"/>
        <w:keepNext w:val="0"/>
        <w:keepLines w:val="0"/>
        <w:widowControl w:val="0"/>
        <w:shd w:fill="ffffff" w:val="clear"/>
        <w:spacing w:after="0" w:before="0" w:line="264" w:lineRule="auto"/>
        <w:rPr>
          <w:rFonts w:ascii="Calibri" w:cs="Calibri" w:eastAsia="Calibri" w:hAnsi="Calibri"/>
          <w:b w:val="1"/>
          <w:sz w:val="22"/>
          <w:szCs w:val="22"/>
        </w:rPr>
      </w:pPr>
      <w:bookmarkStart w:colFirst="0" w:colLast="0" w:name="_95dmms4f53fo" w:id="0"/>
      <w:bookmarkEnd w:id="0"/>
      <w:r w:rsidDel="00000000" w:rsidR="00000000" w:rsidRPr="00000000">
        <w:rPr>
          <w:rFonts w:ascii="Calibri" w:cs="Calibri" w:eastAsia="Calibri" w:hAnsi="Calibri"/>
          <w:b w:val="1"/>
          <w:sz w:val="22"/>
          <w:szCs w:val="22"/>
          <w:rtl w:val="0"/>
        </w:rPr>
        <w:t xml:space="preserve">No Child Left Behind and Every Student Succeeds Act</w:t>
      </w:r>
      <w:r w:rsidDel="00000000" w:rsidR="00000000" w:rsidRPr="00000000">
        <w:rPr>
          <w:rtl w:val="0"/>
        </w:rPr>
      </w:r>
    </w:p>
    <w:p w:rsidR="00000000" w:rsidDel="00000000" w:rsidP="00000000" w:rsidRDefault="00000000" w:rsidRPr="00000000" w14:paraId="00000003">
      <w:pPr>
        <w:widowControl w:val="0"/>
        <w:rPr>
          <w:rFonts w:ascii="Calibri" w:cs="Calibri" w:eastAsia="Calibri" w:hAnsi="Calibri"/>
          <w:i w:val="1"/>
        </w:rPr>
      </w:pPr>
      <w:r w:rsidDel="00000000" w:rsidR="00000000" w:rsidRPr="00000000">
        <w:rPr>
          <w:rtl w:val="0"/>
        </w:rPr>
      </w:r>
    </w:p>
    <w:p w:rsidR="00000000" w:rsidDel="00000000" w:rsidP="00000000" w:rsidRDefault="00000000" w:rsidRPr="00000000" w14:paraId="00000004">
      <w:pPr>
        <w:widowControl w:val="0"/>
        <w:rPr>
          <w:rFonts w:ascii="Calibri" w:cs="Calibri" w:eastAsia="Calibri" w:hAnsi="Calibri"/>
          <w:b w:val="1"/>
        </w:rPr>
      </w:pPr>
      <w:r w:rsidDel="00000000" w:rsidR="00000000" w:rsidRPr="00000000">
        <w:rPr>
          <w:rFonts w:ascii="Calibri" w:cs="Calibri" w:eastAsia="Calibri" w:hAnsi="Calibri"/>
          <w:b w:val="1"/>
          <w:rtl w:val="0"/>
        </w:rPr>
        <w:t xml:space="preserve">Introduction to activity</w:t>
      </w:r>
    </w:p>
    <w:p w:rsidR="00000000" w:rsidDel="00000000" w:rsidP="00000000" w:rsidRDefault="00000000" w:rsidRPr="00000000" w14:paraId="00000005">
      <w:pPr>
        <w:widowControl w:val="0"/>
        <w:rPr>
          <w:rFonts w:ascii="Calibri" w:cs="Calibri" w:eastAsia="Calibri" w:hAnsi="Calibri"/>
        </w:rPr>
      </w:pPr>
      <w:r w:rsidDel="00000000" w:rsidR="00000000" w:rsidRPr="00000000">
        <w:rPr>
          <w:rFonts w:ascii="Calibri" w:cs="Calibri" w:eastAsia="Calibri" w:hAnsi="Calibri"/>
          <w:rtl w:val="0"/>
        </w:rPr>
        <w:t xml:space="preserve">In this activity, students will evaluate the evolution of federal education accountability systems by comparing NCLB and ESSA. Students will analyze the legislative intent, implementation, and impact of both laws, especially as they affect students with disabilities and historically marginalized groups.</w:t>
      </w:r>
    </w:p>
    <w:p w:rsidR="00000000" w:rsidDel="00000000" w:rsidP="00000000" w:rsidRDefault="00000000" w:rsidRPr="00000000" w14:paraId="00000006">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07">
      <w:pPr>
        <w:widowControl w:val="0"/>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widowControl w:val="0"/>
        <w:rPr>
          <w:rFonts w:ascii="Calibri" w:cs="Calibri" w:eastAsia="Calibri" w:hAnsi="Calibri"/>
        </w:rPr>
      </w:pPr>
      <w:r w:rsidDel="00000000" w:rsidR="00000000" w:rsidRPr="00000000">
        <w:rPr>
          <w:rFonts w:ascii="Calibri" w:cs="Calibri" w:eastAsia="Calibri" w:hAnsi="Calibri"/>
          <w:b w:val="1"/>
          <w:rtl w:val="0"/>
        </w:rPr>
        <w:t xml:space="preserve">Tasks</w:t>
      </w:r>
      <w:r w:rsidDel="00000000" w:rsidR="00000000" w:rsidRPr="00000000">
        <w:rPr>
          <w:rtl w:val="0"/>
        </w:rPr>
      </w:r>
    </w:p>
    <w:p w:rsidR="00000000" w:rsidDel="00000000" w:rsidP="00000000" w:rsidRDefault="00000000" w:rsidRPr="00000000" w14:paraId="00000009">
      <w:pPr>
        <w:widowControl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Read the following: </w:t>
      </w:r>
    </w:p>
    <w:p w:rsidR="00000000" w:rsidDel="00000000" w:rsidP="00000000" w:rsidRDefault="00000000" w:rsidRPr="00000000" w14:paraId="0000000A">
      <w:pPr>
        <w:widowControl w:val="0"/>
        <w:numPr>
          <w:ilvl w:val="1"/>
          <w:numId w:val="1"/>
        </w:numPr>
        <w:ind w:left="1440" w:hanging="360"/>
        <w:rPr>
          <w:rFonts w:ascii="Calibri" w:cs="Calibri" w:eastAsia="Calibri" w:hAnsi="Calibri"/>
        </w:rPr>
      </w:pPr>
      <w:hyperlink r:id="rId6">
        <w:r w:rsidDel="00000000" w:rsidR="00000000" w:rsidRPr="00000000">
          <w:rPr>
            <w:rFonts w:ascii="Calibri" w:cs="Calibri" w:eastAsia="Calibri" w:hAnsi="Calibri"/>
            <w:color w:val="1155cc"/>
            <w:u w:val="single"/>
            <w:rtl w:val="0"/>
          </w:rPr>
          <w:t xml:space="preserve">https://www.ldonline.org/ld-topics/legislation-policy/nclb-and-idea-what-parents-students-disabilities-need-know-and-do</w:t>
        </w:r>
      </w:hyperlink>
      <w:r w:rsidDel="00000000" w:rsidR="00000000" w:rsidRPr="00000000">
        <w:rPr>
          <w:rtl w:val="0"/>
        </w:rPr>
      </w:r>
    </w:p>
    <w:p w:rsidR="00000000" w:rsidDel="00000000" w:rsidP="00000000" w:rsidRDefault="00000000" w:rsidRPr="00000000" w14:paraId="0000000B">
      <w:pPr>
        <w:widowControl w:val="0"/>
        <w:numPr>
          <w:ilvl w:val="1"/>
          <w:numId w:val="1"/>
        </w:numPr>
        <w:ind w:left="1440" w:hanging="360"/>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https://www.air.org/resource/blog-post/how-can-essa-help-students-disabilities</w:t>
        </w:r>
      </w:hyperlink>
      <w:r w:rsidDel="00000000" w:rsidR="00000000" w:rsidRPr="00000000">
        <w:rPr>
          <w:rtl w:val="0"/>
        </w:rPr>
      </w:r>
    </w:p>
    <w:p w:rsidR="00000000" w:rsidDel="00000000" w:rsidP="00000000" w:rsidRDefault="00000000" w:rsidRPr="00000000" w14:paraId="0000000C">
      <w:pPr>
        <w:widowControl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D">
      <w:pPr>
        <w:widowControl w:val="0"/>
        <w:rPr>
          <w:rFonts w:ascii="Calibri" w:cs="Calibri" w:eastAsia="Calibri" w:hAnsi="Calibri"/>
          <w:b w:val="1"/>
        </w:rPr>
      </w:pPr>
      <w:r w:rsidDel="00000000" w:rsidR="00000000" w:rsidRPr="00000000">
        <w:rPr>
          <w:rFonts w:ascii="Calibri" w:cs="Calibri" w:eastAsia="Calibri" w:hAnsi="Calibri"/>
          <w:b w:val="1"/>
          <w:rtl w:val="0"/>
        </w:rPr>
        <w:t xml:space="preserve">Follow-Up Options</w:t>
      </w:r>
    </w:p>
    <w:p w:rsidR="00000000" w:rsidDel="00000000" w:rsidP="00000000" w:rsidRDefault="00000000" w:rsidRPr="00000000" w14:paraId="0000000E">
      <w:pPr>
        <w:widowControl w:val="0"/>
        <w:numPr>
          <w:ilvl w:val="0"/>
          <w:numId w:val="2"/>
        </w:numPr>
        <w:spacing w:after="0" w:afterAutospacing="0"/>
        <w:ind w:left="720" w:hanging="360"/>
        <w:rPr>
          <w:rFonts w:ascii="Calibri" w:cs="Calibri" w:eastAsia="Calibri" w:hAnsi="Calibri"/>
        </w:rPr>
      </w:pPr>
      <w:r w:rsidDel="00000000" w:rsidR="00000000" w:rsidRPr="00000000">
        <w:rPr>
          <w:rFonts w:ascii="Calibri" w:cs="Calibri" w:eastAsia="Calibri" w:hAnsi="Calibri"/>
          <w:rtl w:val="0"/>
        </w:rPr>
        <w:t xml:space="preserve">Discussion</w:t>
      </w:r>
    </w:p>
    <w:p w:rsidR="00000000" w:rsidDel="00000000" w:rsidP="00000000" w:rsidRDefault="00000000" w:rsidRPr="00000000" w14:paraId="0000000F">
      <w:pPr>
        <w:widowControl w:val="0"/>
        <w:numPr>
          <w:ilvl w:val="1"/>
          <w:numId w:val="2"/>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What are the general pros and cons of NCLB and ESSA?</w:t>
      </w:r>
    </w:p>
    <w:p w:rsidR="00000000" w:rsidDel="00000000" w:rsidP="00000000" w:rsidRDefault="00000000" w:rsidRPr="00000000" w14:paraId="00000010">
      <w:pPr>
        <w:widowControl w:val="0"/>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What are the implications of shifting more control to states under ESSA, especially in states with inequitable school funding?</w:t>
      </w:r>
    </w:p>
    <w:p w:rsidR="00000000" w:rsidDel="00000000" w:rsidP="00000000" w:rsidRDefault="00000000" w:rsidRPr="00000000" w14:paraId="00000011">
      <w:pPr>
        <w:widowControl w:val="0"/>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How did both NCLB and ESSA influence inclusion, expectations, and accountability for students with disabilities?</w:t>
        <w:br w:type="textWrapping"/>
      </w:r>
    </w:p>
    <w:p w:rsidR="00000000" w:rsidDel="00000000" w:rsidP="00000000" w:rsidRDefault="00000000" w:rsidRPr="00000000" w14:paraId="00000012">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Paper</w:t>
      </w:r>
    </w:p>
    <w:p w:rsidR="00000000" w:rsidDel="00000000" w:rsidP="00000000" w:rsidRDefault="00000000" w:rsidRPr="00000000" w14:paraId="00000013">
      <w:pPr>
        <w:widowControl w:val="0"/>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Compare NCLB and ESSA’s treatment of students with disabilities. Address issues like alternate assessments, accommodations, and subgroup accountability.</w:t>
      </w:r>
    </w:p>
    <w:p w:rsidR="00000000" w:rsidDel="00000000" w:rsidP="00000000" w:rsidRDefault="00000000" w:rsidRPr="00000000" w14:paraId="00000014">
      <w:pPr>
        <w:widowControl w:val="0"/>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Explore the implications of ESSA’s state-driven flexibility. Does it support innovation or enable inequity? Argue your points with reputable sources.</w:t>
      </w:r>
    </w:p>
    <w:p w:rsidR="00000000" w:rsidDel="00000000" w:rsidP="00000000" w:rsidRDefault="00000000" w:rsidRPr="00000000" w14:paraId="00000015">
      <w:pPr>
        <w:widowControl w:val="0"/>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What are the long-term impacts of NCLB’s high-stakes accountability system on teacher morale, curriculum narrowing, and student well-being?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donline.org/ld-topics/legislation-policy/nclb-and-idea-what-parents-students-disabilities-need-know-and-do" TargetMode="External"/><Relationship Id="rId7" Type="http://schemas.openxmlformats.org/officeDocument/2006/relationships/hyperlink" Target="https://www.air.org/resource/blog-post/how-can-essa-help-students-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