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6, Activity 2</w:t>
      </w:r>
    </w:p>
    <w:p w:rsidR="00000000" w:rsidDel="00000000" w:rsidP="00000000" w:rsidRDefault="00000000" w:rsidRPr="00000000" w14:paraId="00000002">
      <w:pPr>
        <w:pStyle w:val="Heading1"/>
        <w:keepNext w:val="0"/>
        <w:keepLines w:val="0"/>
        <w:widowControl w:val="0"/>
        <w:shd w:fill="ffffff" w:val="clear"/>
        <w:spacing w:after="0" w:before="0" w:line="276" w:lineRule="auto"/>
        <w:rPr>
          <w:rFonts w:ascii="Calibri" w:cs="Calibri" w:eastAsia="Calibri" w:hAnsi="Calibri"/>
          <w:b w:val="1"/>
          <w:sz w:val="22"/>
          <w:szCs w:val="22"/>
        </w:rPr>
      </w:pPr>
      <w:bookmarkStart w:colFirst="0" w:colLast="0" w:name="_95dmms4f53fo" w:id="0"/>
      <w:bookmarkEnd w:id="0"/>
      <w:r w:rsidDel="00000000" w:rsidR="00000000" w:rsidRPr="00000000">
        <w:rPr>
          <w:rFonts w:ascii="Calibri" w:cs="Calibri" w:eastAsia="Calibri" w:hAnsi="Calibri"/>
          <w:b w:val="1"/>
          <w:sz w:val="22"/>
          <w:szCs w:val="22"/>
          <w:rtl w:val="0"/>
        </w:rPr>
        <w:t xml:space="preserve">Parental Rights: Exploration of Resources</w:t>
      </w:r>
      <w:r w:rsidDel="00000000" w:rsidR="00000000" w:rsidRPr="00000000">
        <w:rPr>
          <w:rtl w:val="0"/>
        </w:rPr>
      </w:r>
    </w:p>
    <w:p w:rsidR="00000000" w:rsidDel="00000000" w:rsidP="00000000" w:rsidRDefault="00000000" w:rsidRPr="00000000" w14:paraId="00000003">
      <w:pPr>
        <w:widowControl w:val="0"/>
        <w:spacing w:after="0" w:before="0"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widowControl w:val="0"/>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Introduction to activity</w:t>
      </w:r>
    </w:p>
    <w:p w:rsidR="00000000" w:rsidDel="00000000" w:rsidP="00000000" w:rsidRDefault="00000000" w:rsidRPr="00000000" w14:paraId="00000005">
      <w:pPr>
        <w:widowControl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In this activity, students will examine and engage with parent-facing resources that explain procedural safeguards, reflecting on what feels clear, confusing, or empowering while comparing these resources to the legal text of IDEA. Students will identify alignments, gaps, and areas where communication may be missing with families. </w:t>
      </w:r>
      <w:r w:rsidDel="00000000" w:rsidR="00000000" w:rsidRPr="00000000">
        <w:rPr>
          <w:rtl w:val="0"/>
        </w:rPr>
      </w:r>
    </w:p>
    <w:p w:rsidR="00000000" w:rsidDel="00000000" w:rsidP="00000000" w:rsidRDefault="00000000" w:rsidRPr="00000000" w14:paraId="00000006">
      <w:pPr>
        <w:widowControl w:val="0"/>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widowControl w:val="0"/>
        <w:spacing w:after="0" w:before="0" w:line="276" w:lineRule="auto"/>
        <w:rPr>
          <w:rFonts w:ascii="Calibri" w:cs="Calibri" w:eastAsia="Calibri" w:hAnsi="Calibri"/>
        </w:rPr>
      </w:pPr>
      <w:r w:rsidDel="00000000" w:rsidR="00000000" w:rsidRPr="00000000">
        <w:rPr>
          <w:rFonts w:ascii="Calibri" w:cs="Calibri" w:eastAsia="Calibri" w:hAnsi="Calibri"/>
          <w:b w:val="1"/>
          <w:rtl w:val="0"/>
        </w:rPr>
        <w:t xml:space="preserve">Tasks</w:t>
      </w:r>
      <w:r w:rsidDel="00000000" w:rsidR="00000000" w:rsidRPr="00000000">
        <w:rPr>
          <w:rtl w:val="0"/>
        </w:rPr>
      </w:r>
    </w:p>
    <w:p w:rsidR="00000000" w:rsidDel="00000000" w:rsidP="00000000" w:rsidRDefault="00000000" w:rsidRPr="00000000" w14:paraId="00000008">
      <w:pPr>
        <w:widowControl w:val="0"/>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 small groups, google “parental rights in special education” and select 3-4 resources that are geared towards parents and divide one resource to each person in your group.</w:t>
      </w:r>
    </w:p>
    <w:p w:rsidR="00000000" w:rsidDel="00000000" w:rsidP="00000000" w:rsidRDefault="00000000" w:rsidRPr="00000000" w14:paraId="00000009">
      <w:pPr>
        <w:widowControl w:val="0"/>
        <w:numPr>
          <w:ilvl w:val="1"/>
          <w:numId w:val="1"/>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Some sites to look at could include: parent and attorney advocacy groups, technical assistance and/or parent training centers, state or local education agencies websites</w:t>
      </w:r>
    </w:p>
    <w:p w:rsidR="00000000" w:rsidDel="00000000" w:rsidP="00000000" w:rsidRDefault="00000000" w:rsidRPr="00000000" w14:paraId="0000000A">
      <w:pPr>
        <w:widowControl w:val="0"/>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Each person should read their resource as though you are learning this information for the first time. Come back as a group and discuss the following questions:</w:t>
      </w:r>
    </w:p>
    <w:p w:rsidR="00000000" w:rsidDel="00000000" w:rsidP="00000000" w:rsidRDefault="00000000" w:rsidRPr="00000000" w14:paraId="0000000B">
      <w:pPr>
        <w:widowControl w:val="0"/>
        <w:numPr>
          <w:ilvl w:val="1"/>
          <w:numId w:val="1"/>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information sticks out to you as important or surprising?</w:t>
      </w:r>
    </w:p>
    <w:p w:rsidR="00000000" w:rsidDel="00000000" w:rsidP="00000000" w:rsidRDefault="00000000" w:rsidRPr="00000000" w14:paraId="0000000C">
      <w:pPr>
        <w:widowControl w:val="0"/>
        <w:numPr>
          <w:ilvl w:val="1"/>
          <w:numId w:val="1"/>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makes sense or is explained clearly?</w:t>
      </w:r>
    </w:p>
    <w:p w:rsidR="00000000" w:rsidDel="00000000" w:rsidP="00000000" w:rsidRDefault="00000000" w:rsidRPr="00000000" w14:paraId="0000000D">
      <w:pPr>
        <w:widowControl w:val="0"/>
        <w:numPr>
          <w:ilvl w:val="1"/>
          <w:numId w:val="1"/>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is confusing, overwhelming or unclear?</w:t>
      </w:r>
    </w:p>
    <w:p w:rsidR="00000000" w:rsidDel="00000000" w:rsidP="00000000" w:rsidRDefault="00000000" w:rsidRPr="00000000" w14:paraId="0000000E">
      <w:pPr>
        <w:widowControl w:val="0"/>
        <w:numPr>
          <w:ilvl w:val="1"/>
          <w:numId w:val="1"/>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How would this affect your ability to advocate for your child?</w:t>
      </w:r>
    </w:p>
    <w:p w:rsidR="00000000" w:rsidDel="00000000" w:rsidP="00000000" w:rsidRDefault="00000000" w:rsidRPr="00000000" w14:paraId="0000000F">
      <w:pPr>
        <w:widowControl w:val="0"/>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As a group, compare your reflections to the actual IDEA statutory language on parental rights. Identify where the resource aligns with the law and where the resource oversimplifies, omits, or misinterprets legal provisions.</w:t>
      </w:r>
    </w:p>
    <w:p w:rsidR="00000000" w:rsidDel="00000000" w:rsidP="00000000" w:rsidRDefault="00000000" w:rsidRPr="00000000" w14:paraId="00000010">
      <w:pPr>
        <w:widowControl w:val="0"/>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Come back as a class and share one key insight or gap each group found between the “parent perspective” and the legal requirements. Discuss implications for professional practice such as how educators and administrators can ensure parents have accurate, accessible information about their rights. </w:t>
      </w:r>
    </w:p>
    <w:p w:rsidR="00000000" w:rsidDel="00000000" w:rsidP="00000000" w:rsidRDefault="00000000" w:rsidRPr="00000000" w14:paraId="00000011">
      <w:pPr>
        <w:widowControl w:val="0"/>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0"/>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Follow-Up Options</w:t>
      </w:r>
    </w:p>
    <w:p w:rsidR="00000000" w:rsidDel="00000000" w:rsidP="00000000" w:rsidRDefault="00000000" w:rsidRPr="00000000" w14:paraId="00000013">
      <w:pPr>
        <w:widowControl w:val="0"/>
        <w:numPr>
          <w:ilvl w:val="0"/>
          <w:numId w:val="2"/>
        </w:numPr>
        <w:spacing w:after="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Discussion Questions</w:t>
      </w:r>
    </w:p>
    <w:p w:rsidR="00000000" w:rsidDel="00000000" w:rsidP="00000000" w:rsidRDefault="00000000" w:rsidRPr="00000000" w14:paraId="00000014">
      <w:pPr>
        <w:widowControl w:val="0"/>
        <w:numPr>
          <w:ilvl w:val="1"/>
          <w:numId w:val="2"/>
        </w:numPr>
        <w:spacing w:after="0" w:before="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Which rights under IDEA felt most empowering, and which seemed hardest to understand or use effectively?</w:t>
      </w:r>
    </w:p>
    <w:p w:rsidR="00000000" w:rsidDel="00000000" w:rsidP="00000000" w:rsidRDefault="00000000" w:rsidRPr="00000000" w14:paraId="00000015">
      <w:pPr>
        <w:widowControl w:val="0"/>
        <w:numPr>
          <w:ilvl w:val="1"/>
          <w:numId w:val="2"/>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How does the way information is presented in parent-facing resources help shape a family’s ability to advocate for their child?</w:t>
      </w:r>
    </w:p>
    <w:p w:rsidR="00000000" w:rsidDel="00000000" w:rsidP="00000000" w:rsidRDefault="00000000" w:rsidRPr="00000000" w14:paraId="00000016">
      <w:pPr>
        <w:widowControl w:val="0"/>
        <w:numPr>
          <w:ilvl w:val="1"/>
          <w:numId w:val="2"/>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Did any parts of the law surprise you when you compared it to the resource? Why might certain provisions be omitted or oversimplified?</w:t>
      </w:r>
    </w:p>
    <w:p w:rsidR="00000000" w:rsidDel="00000000" w:rsidP="00000000" w:rsidRDefault="00000000" w:rsidRPr="00000000" w14:paraId="00000017">
      <w:pPr>
        <w:widowControl w:val="0"/>
        <w:numPr>
          <w:ilvl w:val="1"/>
          <w:numId w:val="2"/>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 what ways might cultural, linguistic, or socio-economic factors influence a parent’s ability to access and act on their IDEA rights?</w:t>
      </w:r>
    </w:p>
    <w:p w:rsidR="00000000" w:rsidDel="00000000" w:rsidP="00000000" w:rsidRDefault="00000000" w:rsidRPr="00000000" w14:paraId="00000018">
      <w:pPr>
        <w:widowControl w:val="0"/>
        <w:numPr>
          <w:ilvl w:val="1"/>
          <w:numId w:val="2"/>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How can educators bridge the gap between legal language and accessible communication for families?</w:t>
      </w:r>
    </w:p>
    <w:p w:rsidR="00000000" w:rsidDel="00000000" w:rsidP="00000000" w:rsidRDefault="00000000" w:rsidRPr="00000000" w14:paraId="00000019">
      <w:pPr>
        <w:widowControl w:val="0"/>
        <w:numPr>
          <w:ilvl w:val="1"/>
          <w:numId w:val="2"/>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Thinking about your prior knowledge, how did this activity confirm, challenge, or expand your understanding of parental rights?</w:t>
      </w:r>
      <w:r w:rsidDel="00000000" w:rsidR="00000000" w:rsidRPr="00000000">
        <w:rPr>
          <w:rtl w:val="0"/>
        </w:rPr>
      </w:r>
    </w:p>
    <w:p w:rsidR="00000000" w:rsidDel="00000000" w:rsidP="00000000" w:rsidRDefault="00000000" w:rsidRPr="00000000" w14:paraId="0000001A">
      <w:pPr>
        <w:widowControl w:val="0"/>
        <w:numPr>
          <w:ilvl w:val="0"/>
          <w:numId w:val="2"/>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Paper:</w:t>
      </w:r>
    </w:p>
    <w:p w:rsidR="00000000" w:rsidDel="00000000" w:rsidP="00000000" w:rsidRDefault="00000000" w:rsidRPr="00000000" w14:paraId="0000001B">
      <w:pPr>
        <w:widowControl w:val="0"/>
        <w:numPr>
          <w:ilvl w:val="1"/>
          <w:numId w:val="2"/>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Analyze the similarities and differences between a parent-facing resource on IDEA rights and the actual statutory/regulator language. Discuss the implications of these similarities/differences for parental advocacy and educational equity.</w:t>
      </w:r>
    </w:p>
    <w:p w:rsidR="00000000" w:rsidDel="00000000" w:rsidP="00000000" w:rsidRDefault="00000000" w:rsidRPr="00000000" w14:paraId="0000001C">
      <w:pPr>
        <w:widowControl w:val="0"/>
        <w:numPr>
          <w:ilvl w:val="1"/>
          <w:numId w:val="2"/>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Examine how parental rights are communicated by schools, advocacy groups, and government agencies. Evaluate the clarity, accessibility, and completeness of these communications, and propose strategies to improve understanding among parent populations.</w:t>
      </w:r>
    </w:p>
    <w:p w:rsidR="00000000" w:rsidDel="00000000" w:rsidP="00000000" w:rsidRDefault="00000000" w:rsidRPr="00000000" w14:paraId="0000001D">
      <w:pPr>
        <w:widowControl w:val="0"/>
        <w:numPr>
          <w:ilvl w:val="1"/>
          <w:numId w:val="2"/>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Using both IDEA text and real-world resources, analyze how parental rights are implemented in schools. Discuss barriers that may prevent parents from exercising these rights fully, and propose policy or practice changes to address them.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