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Module 7, Activity 2</w:t>
      </w:r>
    </w:p>
    <w:p w:rsidR="00000000" w:rsidDel="00000000" w:rsidP="00000000" w:rsidRDefault="00000000" w:rsidRPr="00000000" w14:paraId="00000002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Role of Public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Introduction to activity</w:t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will read an NPRM and learn opposing arguments. Then, they will practice writing a public comment letter advocating for or against a regulation change.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Watch: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https://youtu.be/pVC2RdYE-Q4?si=v1JQQQhDIu4TZpqL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Read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https://exceptionalchildren.org/blog/osers-issues-nprm-regarding-parental-consent-medicaid-billing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Explore the comments on: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https://www.federalregister.gov/documents/2023/05/18/2023-10542/assistance-to-states-for-the-education-of-children-with-disabilities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small groups, draft a short public comment letter advocating for or against a proposed change.</w:t>
      </w:r>
    </w:p>
    <w:p w:rsidR="00000000" w:rsidDel="00000000" w:rsidP="00000000" w:rsidRDefault="00000000" w:rsidRPr="00000000" w14:paraId="0000000C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Follow-Up Options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Questions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what ways do large organizations (e.g., Council for Exceptional Children) influence rulemaking differently from individual practitioners?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can technology (social media, webinars, online advocacy campaigns) improve participation in IDEA public commenting?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might the complexity of legal language in NPRMs discourage public engagement?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Should there be plain-language summaries of all proposed federal regulations? Why or why not?</w:t>
      </w:r>
    </w:p>
    <w:p w:rsidR="00000000" w:rsidDel="00000000" w:rsidP="00000000" w:rsidRDefault="00000000" w:rsidRPr="00000000" w14:paraId="00000014">
      <w:pPr>
        <w:widowControl w:val="0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Paper: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Analyze the barriers that prevent certain stakeholder groups (e.g., parents, educators, disability advocates) from engaging in the IDEA public comment process. Propose solutions for increasing equitable participation.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the role of advocacy organizations in amplifying voices in the IDEA rulemaking process. Provide an example of a campaign that influenced final regulations.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Critically assess whether the current notice-and-comment process truly results in democratic decision-making for special education regulations.</w:t>
        <w:br w:type="textWrapping"/>
      </w:r>
    </w:p>
    <w:p w:rsidR="00000000" w:rsidDel="00000000" w:rsidP="00000000" w:rsidRDefault="00000000" w:rsidRPr="00000000" w14:paraId="00000019">
      <w:pPr>
        <w:widowControl w:val="0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pVC2RdYE-Q4?si=v1JQQQhDIu4TZpqL" TargetMode="External"/><Relationship Id="rId7" Type="http://schemas.openxmlformats.org/officeDocument/2006/relationships/hyperlink" Target="https://exceptionalchildren.org/blog/osers-issues-nprm-regarding-parental-consent-medicaid-billing" TargetMode="External"/><Relationship Id="rId8" Type="http://schemas.openxmlformats.org/officeDocument/2006/relationships/hyperlink" Target="https://www.federalregister.gov/documents/2023/05/18/2023-10542/assistance-to-states-for-the-education-of-children-with-disa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