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Module 9, Activity 3</w:t>
      </w:r>
    </w:p>
    <w:p w:rsidR="00000000" w:rsidDel="00000000" w:rsidP="00000000" w:rsidRDefault="00000000" w:rsidRPr="00000000" w14:paraId="00000002">
      <w:pPr>
        <w:pStyle w:val="Heading1"/>
        <w:keepNext w:val="0"/>
        <w:keepLines w:val="0"/>
        <w:widowControl w:val="0"/>
        <w:shd w:fill="ffffff" w:val="clear"/>
        <w:spacing w:after="0" w:before="0" w:line="276" w:lineRule="auto"/>
        <w:rPr>
          <w:rFonts w:ascii="Calibri" w:cs="Calibri" w:eastAsia="Calibri" w:hAnsi="Calibri"/>
          <w:b w:val="1"/>
          <w:bCs w:val="1"/>
          <w:sz w:val="22"/>
          <w:szCs w:val="22"/>
        </w:rPr>
      </w:pPr>
      <w:bookmarkStart w:colFirst="0" w:colLast="0" w:name="_95dmms4f53fo" w:id="0"/>
      <w:bookmarkEnd w:id="0"/>
      <w:r w:rsidDel="00000000" w:rsidR="00000000" w:rsidRPr="00000000">
        <w:rPr>
          <w:rFonts w:ascii="Calibri" w:cs="Calibri" w:eastAsia="Calibri" w:hAnsi="Calibri"/>
          <w:b w:val="1"/>
          <w:bCs w:val="1"/>
          <w:sz w:val="22"/>
          <w:szCs w:val="22"/>
          <w:rtl w:val="0"/>
        </w:rPr>
        <w:t xml:space="preserve">Diagramming IDEA, ADA, and Section 504</w:t>
      </w:r>
      <w:r w:rsidDel="00000000" w:rsidR="00000000" w:rsidRPr="00000000">
        <w:rPr>
          <w:rtl w:val="0"/>
        </w:rPr>
      </w:r>
    </w:p>
    <w:p w:rsidR="00000000" w:rsidDel="00000000" w:rsidP="00000000" w:rsidRDefault="00000000" w:rsidRPr="00000000" w14:paraId="00000003">
      <w:pPr>
        <w:widowControl w:val="0"/>
        <w:spacing w:after="0" w:before="0" w:line="276"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4">
      <w:pPr>
        <w:widowControl w:val="0"/>
        <w:spacing w:after="0" w:before="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Introduction to activity</w:t>
      </w:r>
    </w:p>
    <w:p w:rsidR="00000000" w:rsidDel="00000000" w:rsidP="00000000" w:rsidRDefault="00000000" w:rsidRPr="00000000" w14:paraId="00000005">
      <w:pPr>
        <w:widowControl w:val="0"/>
        <w:spacing w:after="0" w:before="0" w:line="276" w:lineRule="auto"/>
        <w:rPr>
          <w:rFonts w:ascii="Calibri" w:cs="Calibri" w:eastAsia="Calibri" w:hAnsi="Calibri"/>
        </w:rPr>
      </w:pPr>
      <w:r w:rsidDel="00000000" w:rsidR="00000000" w:rsidRPr="00000000">
        <w:rPr>
          <w:rFonts w:ascii="Calibri" w:cs="Calibri" w:eastAsia="Calibri" w:hAnsi="Calibri"/>
          <w:i w:val="1"/>
          <w:iCs w:val="1"/>
          <w:rtl w:val="0"/>
        </w:rPr>
        <w:t xml:space="preserve">Perez v. Sturgis Public Schools</w:t>
      </w:r>
      <w:r w:rsidDel="00000000" w:rsidR="00000000" w:rsidRPr="00000000">
        <w:rPr>
          <w:rFonts w:ascii="Calibri" w:cs="Calibri" w:eastAsia="Calibri" w:hAnsi="Calibri"/>
          <w:rtl w:val="0"/>
        </w:rPr>
        <w:t xml:space="preserve"> (2023) expanded access to remedies under the ADA, even when IDEA claims are settled. In this activity, students examine how these laws intersect and what that means for school districts, families, and students.</w:t>
      </w:r>
    </w:p>
    <w:p w:rsidR="00000000" w:rsidDel="00000000" w:rsidP="00000000" w:rsidRDefault="00000000" w:rsidRPr="00000000" w14:paraId="00000006">
      <w:pPr>
        <w:widowControl w:val="0"/>
        <w:spacing w:after="0" w:before="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widowControl w:val="0"/>
        <w:spacing w:after="0" w:before="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Tasks</w:t>
      </w:r>
      <w:r w:rsidDel="00000000" w:rsidR="00000000" w:rsidRPr="00000000">
        <w:rPr>
          <w:rtl w:val="0"/>
        </w:rPr>
      </w:r>
    </w:p>
    <w:p w:rsidR="00000000" w:rsidDel="00000000" w:rsidP="00000000" w:rsidRDefault="00000000" w:rsidRPr="00000000" w14:paraId="00000008">
      <w:pPr>
        <w:widowControl w:val="0"/>
        <w:numPr>
          <w:ilvl w:val="0"/>
          <w:numId w:val="1"/>
        </w:numPr>
        <w:spacing w:after="0" w:afterAutospacing="0" w:before="240" w:lineRule="auto"/>
        <w:ind w:left="720" w:hanging="360"/>
      </w:pPr>
      <w:r w:rsidDel="00000000" w:rsidR="00000000" w:rsidRPr="00000000">
        <w:rPr>
          <w:rFonts w:ascii="Calibri" w:cs="Calibri" w:eastAsia="Calibri" w:hAnsi="Calibri"/>
          <w:rtl w:val="0"/>
        </w:rPr>
        <w:t xml:space="preserve">Read and watch the following: </w:t>
      </w:r>
      <w:r w:rsidDel="00000000" w:rsidR="00000000" w:rsidRPr="00000000">
        <w:rPr>
          <w:rtl w:val="0"/>
        </w:rPr>
      </w:r>
    </w:p>
    <w:p w:rsidR="00000000" w:rsidDel="00000000" w:rsidP="00000000" w:rsidRDefault="00000000" w:rsidRPr="00000000" w14:paraId="00000009">
      <w:pPr>
        <w:widowControl w:val="0"/>
        <w:numPr>
          <w:ilvl w:val="1"/>
          <w:numId w:val="1"/>
        </w:numPr>
        <w:spacing w:after="0" w:afterAutospacing="0" w:before="0" w:beforeAutospacing="0" w:lineRule="auto"/>
        <w:ind w:left="1440" w:hanging="360"/>
        <w:rPr>
          <w:rFonts w:ascii="Calibri" w:cs="Calibri" w:eastAsia="Calibri" w:hAnsi="Calibri"/>
          <w:u w:val="none"/>
        </w:rPr>
      </w:pPr>
      <w:hyperlink r:id="rId6">
        <w:r w:rsidDel="00000000" w:rsidR="00000000" w:rsidRPr="00000000">
          <w:rPr>
            <w:rFonts w:ascii="Calibri" w:cs="Calibri" w:eastAsia="Calibri" w:hAnsi="Calibri"/>
            <w:color w:val="1155cc"/>
            <w:u w:val="single"/>
            <w:rtl w:val="0"/>
          </w:rPr>
          <w:t xml:space="preserve">https://acceleratelearning.stanford.edu/story/designing-schools-for-all-perez-v-sturgis/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widowControl w:val="0"/>
        <w:numPr>
          <w:ilvl w:val="1"/>
          <w:numId w:val="1"/>
        </w:numPr>
        <w:spacing w:after="0" w:afterAutospacing="0" w:before="0" w:beforeAutospacing="0" w:lineRule="auto"/>
        <w:ind w:left="1440" w:hanging="360"/>
        <w:rPr>
          <w:rFonts w:ascii="Calibri" w:cs="Calibri" w:eastAsia="Calibri" w:hAnsi="Calibri"/>
          <w:u w:val="none"/>
        </w:rPr>
      </w:pPr>
      <w:hyperlink r:id="rId7">
        <w:r w:rsidDel="00000000" w:rsidR="00000000" w:rsidRPr="00000000">
          <w:rPr>
            <w:rFonts w:ascii="Calibri" w:cs="Calibri" w:eastAsia="Calibri" w:hAnsi="Calibri"/>
            <w:color w:val="1155cc"/>
            <w:u w:val="single"/>
            <w:rtl w:val="0"/>
          </w:rPr>
          <w:t xml:space="preserve">https://youtu.be/UmE1KQcBIbU?si=3ZchUmsQlSpDYTqF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widowControl w:val="0"/>
        <w:numPr>
          <w:ilvl w:val="0"/>
          <w:numId w:val="1"/>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groups, students will create diagram overlaps between IDEA, ADA, and Section 504. They need to identify remedies available under each law, and role-play advising a family on their options.</w:t>
      </w:r>
    </w:p>
    <w:p w:rsidR="00000000" w:rsidDel="00000000" w:rsidP="00000000" w:rsidRDefault="00000000" w:rsidRPr="00000000" w14:paraId="0000000C">
      <w:pPr>
        <w:widowControl w:val="0"/>
        <w:spacing w:after="0" w:before="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Follow-Up Options</w:t>
      </w:r>
    </w:p>
    <w:p w:rsidR="00000000" w:rsidDel="00000000" w:rsidP="00000000" w:rsidRDefault="00000000" w:rsidRPr="00000000" w14:paraId="0000000D">
      <w:pPr>
        <w:widowControl w:val="0"/>
        <w:numPr>
          <w:ilvl w:val="0"/>
          <w:numId w:val="3"/>
        </w:numPr>
        <w:spacing w:after="0" w:afterAutospacing="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 Questions</w:t>
      </w:r>
    </w:p>
    <w:p w:rsidR="00000000" w:rsidDel="00000000" w:rsidP="00000000" w:rsidRDefault="00000000" w:rsidRPr="00000000" w14:paraId="0000000E">
      <w:pPr>
        <w:widowControl w:val="0"/>
        <w:numPr>
          <w:ilvl w:val="1"/>
          <w:numId w:val="3"/>
        </w:numPr>
        <w:spacing w:after="0" w:afterAutospacing="0" w:before="0" w:beforeAutospacing="0" w:lineRule="auto"/>
        <w:ind w:left="1440" w:hanging="360"/>
      </w:pPr>
      <w:r w:rsidDel="00000000" w:rsidR="00000000" w:rsidRPr="00000000">
        <w:rPr>
          <w:rFonts w:ascii="Calibri" w:cs="Calibri" w:eastAsia="Calibri" w:hAnsi="Calibri"/>
          <w:rtl w:val="0"/>
        </w:rPr>
        <w:t xml:space="preserve">Why is the </w:t>
      </w:r>
      <w:r w:rsidDel="00000000" w:rsidR="00000000" w:rsidRPr="00000000">
        <w:rPr>
          <w:rFonts w:ascii="Calibri" w:cs="Calibri" w:eastAsia="Calibri" w:hAnsi="Calibri"/>
          <w:i w:val="1"/>
          <w:iCs w:val="1"/>
          <w:rtl w:val="0"/>
        </w:rPr>
        <w:t xml:space="preserve">Perez</w:t>
      </w:r>
      <w:r w:rsidDel="00000000" w:rsidR="00000000" w:rsidRPr="00000000">
        <w:rPr>
          <w:rFonts w:ascii="Calibri" w:cs="Calibri" w:eastAsia="Calibri" w:hAnsi="Calibri"/>
          <w:rtl w:val="0"/>
        </w:rPr>
        <w:t xml:space="preserve"> decision significant for students seeking remedies beyond IDEA?</w:t>
      </w:r>
    </w:p>
    <w:p w:rsidR="00000000" w:rsidDel="00000000" w:rsidP="00000000" w:rsidRDefault="00000000" w:rsidRPr="00000000" w14:paraId="0000000F">
      <w:pPr>
        <w:widowControl w:val="0"/>
        <w:numPr>
          <w:ilvl w:val="1"/>
          <w:numId w:val="3"/>
        </w:numPr>
        <w:spacing w:after="0" w:afterAutospacing="0" w:before="0" w:beforeAutospacing="0" w:lineRule="auto"/>
        <w:ind w:left="1440" w:hanging="360"/>
      </w:pPr>
      <w:r w:rsidDel="00000000" w:rsidR="00000000" w:rsidRPr="00000000">
        <w:rPr>
          <w:rFonts w:ascii="Calibri" w:cs="Calibri" w:eastAsia="Calibri" w:hAnsi="Calibri"/>
          <w:rtl w:val="0"/>
        </w:rPr>
        <w:t xml:space="preserve">How might </w:t>
      </w:r>
      <w:r w:rsidDel="00000000" w:rsidR="00000000" w:rsidRPr="00000000">
        <w:rPr>
          <w:rFonts w:ascii="Calibri" w:cs="Calibri" w:eastAsia="Calibri" w:hAnsi="Calibri"/>
          <w:i w:val="1"/>
          <w:iCs w:val="1"/>
          <w:rtl w:val="0"/>
        </w:rPr>
        <w:t xml:space="preserve">Perez</w:t>
      </w:r>
      <w:r w:rsidDel="00000000" w:rsidR="00000000" w:rsidRPr="00000000">
        <w:rPr>
          <w:rFonts w:ascii="Calibri" w:cs="Calibri" w:eastAsia="Calibri" w:hAnsi="Calibri"/>
          <w:rtl w:val="0"/>
        </w:rPr>
        <w:t xml:space="preserve"> change how schools handle complaints?</w:t>
      </w:r>
    </w:p>
    <w:p w:rsidR="00000000" w:rsidDel="00000000" w:rsidP="00000000" w:rsidRDefault="00000000" w:rsidRPr="00000000" w14:paraId="00000010">
      <w:pPr>
        <w:widowControl w:val="0"/>
        <w:numPr>
          <w:ilvl w:val="1"/>
          <w:numId w:val="3"/>
        </w:numPr>
        <w:spacing w:after="0" w:afterAutospacing="0" w:before="0" w:beforeAutospacing="0" w:lineRule="auto"/>
        <w:ind w:left="1440" w:hanging="360"/>
      </w:pPr>
      <w:r w:rsidDel="00000000" w:rsidR="00000000" w:rsidRPr="00000000">
        <w:rPr>
          <w:rFonts w:ascii="Calibri" w:cs="Calibri" w:eastAsia="Calibri" w:hAnsi="Calibri"/>
          <w:rtl w:val="0"/>
        </w:rPr>
        <w:t xml:space="preserve">What are the risks of dual claims under IDEA and ADA?</w:t>
      </w:r>
    </w:p>
    <w:p w:rsidR="00000000" w:rsidDel="00000000" w:rsidP="00000000" w:rsidRDefault="00000000" w:rsidRPr="00000000" w14:paraId="00000011">
      <w:pPr>
        <w:widowControl w:val="0"/>
        <w:numPr>
          <w:ilvl w:val="1"/>
          <w:numId w:val="3"/>
        </w:numPr>
        <w:spacing w:after="240" w:before="0" w:beforeAutospacing="0" w:lineRule="auto"/>
        <w:ind w:left="1440" w:hanging="360"/>
      </w:pPr>
      <w:r w:rsidDel="00000000" w:rsidR="00000000" w:rsidRPr="00000000">
        <w:rPr>
          <w:rFonts w:ascii="Calibri" w:cs="Calibri" w:eastAsia="Calibri" w:hAnsi="Calibri"/>
          <w:rtl w:val="0"/>
        </w:rPr>
        <w:t xml:space="preserve">How does the ruling empower families in advocacy?</w:t>
      </w:r>
    </w:p>
    <w:p w:rsidR="00000000" w:rsidDel="00000000" w:rsidP="00000000" w:rsidRDefault="00000000" w:rsidRPr="00000000" w14:paraId="00000012">
      <w:pPr>
        <w:widowControl w:val="0"/>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Paper Prompts</w:t>
      </w:r>
    </w:p>
    <w:p w:rsidR="00000000" w:rsidDel="00000000" w:rsidP="00000000" w:rsidRDefault="00000000" w:rsidRPr="00000000" w14:paraId="00000013">
      <w:pPr>
        <w:widowControl w:val="0"/>
        <w:numPr>
          <w:ilvl w:val="0"/>
          <w:numId w:val="2"/>
        </w:numPr>
        <w:spacing w:after="0" w:afterAutospacing="0" w:befor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Analyze how </w:t>
      </w:r>
      <w:r w:rsidDel="00000000" w:rsidR="00000000" w:rsidRPr="00000000">
        <w:rPr>
          <w:rFonts w:ascii="Calibri" w:cs="Calibri" w:eastAsia="Calibri" w:hAnsi="Calibri"/>
          <w:i w:val="1"/>
          <w:iCs w:val="1"/>
          <w:rtl w:val="0"/>
        </w:rPr>
        <w:t xml:space="preserve">Perez</w:t>
      </w:r>
      <w:r w:rsidDel="00000000" w:rsidR="00000000" w:rsidRPr="00000000">
        <w:rPr>
          <w:rFonts w:ascii="Calibri" w:cs="Calibri" w:eastAsia="Calibri" w:hAnsi="Calibri"/>
          <w:rtl w:val="0"/>
        </w:rPr>
        <w:t xml:space="preserve"> expands remedies for students with disabilities.</w:t>
      </w:r>
    </w:p>
    <w:p w:rsidR="00000000" w:rsidDel="00000000" w:rsidP="00000000" w:rsidRDefault="00000000" w:rsidRPr="00000000" w14:paraId="00000014">
      <w:pPr>
        <w:widowControl w:val="0"/>
        <w:numPr>
          <w:ilvl w:val="0"/>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Compare IDEA’s scope to ADA’s broader civil rights protections.</w:t>
      </w:r>
    </w:p>
    <w:p w:rsidR="00000000" w:rsidDel="00000000" w:rsidP="00000000" w:rsidRDefault="00000000" w:rsidRPr="00000000" w14:paraId="00000015">
      <w:pPr>
        <w:widowControl w:val="0"/>
        <w:numPr>
          <w:ilvl w:val="0"/>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Evaluate how </w:t>
      </w:r>
      <w:r w:rsidDel="00000000" w:rsidR="00000000" w:rsidRPr="00000000">
        <w:rPr>
          <w:rFonts w:ascii="Calibri" w:cs="Calibri" w:eastAsia="Calibri" w:hAnsi="Calibri"/>
          <w:i w:val="1"/>
          <w:iCs w:val="1"/>
          <w:rtl w:val="0"/>
        </w:rPr>
        <w:t xml:space="preserve">Perez</w:t>
      </w:r>
      <w:r w:rsidDel="00000000" w:rsidR="00000000" w:rsidRPr="00000000">
        <w:rPr>
          <w:rFonts w:ascii="Calibri" w:cs="Calibri" w:eastAsia="Calibri" w:hAnsi="Calibri"/>
          <w:rtl w:val="0"/>
        </w:rPr>
        <w:t xml:space="preserve"> affects school district legal liability.</w:t>
      </w:r>
    </w:p>
    <w:p w:rsidR="00000000" w:rsidDel="00000000" w:rsidP="00000000" w:rsidRDefault="00000000" w:rsidRPr="00000000" w14:paraId="00000016">
      <w:pPr>
        <w:widowControl w:val="0"/>
        <w:numPr>
          <w:ilvl w:val="0"/>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Discuss how </w:t>
      </w:r>
      <w:r w:rsidDel="00000000" w:rsidR="00000000" w:rsidRPr="00000000">
        <w:rPr>
          <w:rFonts w:ascii="Calibri" w:cs="Calibri" w:eastAsia="Calibri" w:hAnsi="Calibri"/>
          <w:i w:val="1"/>
          <w:iCs w:val="1"/>
          <w:rtl w:val="0"/>
        </w:rPr>
        <w:t xml:space="preserve">Perez</w:t>
      </w:r>
      <w:r w:rsidDel="00000000" w:rsidR="00000000" w:rsidRPr="00000000">
        <w:rPr>
          <w:rFonts w:ascii="Calibri" w:cs="Calibri" w:eastAsia="Calibri" w:hAnsi="Calibri"/>
          <w:rtl w:val="0"/>
        </w:rPr>
        <w:t xml:space="preserve"> could influence district-level compliance practices.</w:t>
      </w:r>
    </w:p>
    <w:p w:rsidR="00000000" w:rsidDel="00000000" w:rsidP="00000000" w:rsidRDefault="00000000" w:rsidRPr="00000000" w14:paraId="00000017">
      <w:pPr>
        <w:widowControl w:val="0"/>
        <w:numPr>
          <w:ilvl w:val="0"/>
          <w:numId w:val="2"/>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Propose policy reforms to harmonize IDEA and ADA protections.</w:t>
      </w:r>
    </w:p>
    <w:p w:rsidR="00000000" w:rsidDel="00000000" w:rsidP="00000000" w:rsidRDefault="00000000" w:rsidRPr="00000000" w14:paraId="00000018">
      <w:pPr>
        <w:widowControl w:val="0"/>
        <w:spacing w:after="240" w:before="240" w:lineRule="auto"/>
        <w:ind w:left="72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celeratelearning.stanford.edu/story/designing-schools-for-all-perez-v-sturgis/" TargetMode="External"/><Relationship Id="rId7" Type="http://schemas.openxmlformats.org/officeDocument/2006/relationships/hyperlink" Target="https://youtu.be/UmE1KQcBIbU?si=3ZchUmsQlSpDYT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